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АДМИНИСТРАЦИЯ</w:t>
      </w:r>
    </w:p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ДЕМЬЯНОВСКОГО  ГОРОДСКОГО  ПОСЕЛЕНИЯ</w:t>
      </w:r>
    </w:p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ПОДОСИНОВСКОГО РАЙОНА КИРОВСКОЙ ОБЛАСТИ</w:t>
      </w:r>
    </w:p>
    <w:p w:rsidR="00502CD2" w:rsidRPr="00257F04" w:rsidRDefault="00502CD2" w:rsidP="00502CD2">
      <w:pPr>
        <w:jc w:val="both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 xml:space="preserve">                                           </w:t>
      </w:r>
    </w:p>
    <w:p w:rsidR="00502CD2" w:rsidRPr="00257F04" w:rsidRDefault="00502CD2" w:rsidP="00502CD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ПОСТАНОВЛЕНИЕ</w:t>
      </w:r>
    </w:p>
    <w:p w:rsidR="00502CD2" w:rsidRPr="00257F04" w:rsidRDefault="00502CD2" w:rsidP="00502CD2">
      <w:pPr>
        <w:jc w:val="center"/>
        <w:rPr>
          <w:b/>
          <w:sz w:val="28"/>
          <w:szCs w:val="28"/>
        </w:rPr>
      </w:pPr>
    </w:p>
    <w:p w:rsidR="00502CD2" w:rsidRPr="00710E96" w:rsidRDefault="00F626C2" w:rsidP="00502C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27.12</w:t>
      </w:r>
      <w:r w:rsidR="00CA2873">
        <w:rPr>
          <w:sz w:val="28"/>
          <w:szCs w:val="28"/>
          <w:u w:val="single"/>
        </w:rPr>
        <w:t>.2019</w:t>
      </w:r>
      <w:r w:rsidR="00502CD2" w:rsidRPr="00257F04">
        <w:rPr>
          <w:sz w:val="28"/>
          <w:szCs w:val="28"/>
          <w:u w:val="single"/>
        </w:rPr>
        <w:t xml:space="preserve">     </w:t>
      </w:r>
      <w:r w:rsidR="00502CD2" w:rsidRPr="00257F04">
        <w:rPr>
          <w:sz w:val="28"/>
          <w:szCs w:val="28"/>
        </w:rPr>
        <w:t xml:space="preserve">                                                     </w:t>
      </w:r>
      <w:r w:rsidR="00502CD2">
        <w:rPr>
          <w:sz w:val="28"/>
          <w:szCs w:val="28"/>
        </w:rPr>
        <w:t xml:space="preserve">        </w:t>
      </w:r>
      <w:r w:rsidR="0001519E">
        <w:rPr>
          <w:sz w:val="28"/>
          <w:szCs w:val="28"/>
        </w:rPr>
        <w:t xml:space="preserve">               </w:t>
      </w:r>
      <w:r w:rsidR="00502CD2" w:rsidRPr="00257F04">
        <w:rPr>
          <w:sz w:val="28"/>
          <w:szCs w:val="28"/>
          <w:u w:val="single"/>
        </w:rPr>
        <w:t xml:space="preserve">                   № </w:t>
      </w:r>
      <w:r w:rsidR="003267D3">
        <w:rPr>
          <w:sz w:val="28"/>
          <w:szCs w:val="28"/>
          <w:u w:val="single"/>
        </w:rPr>
        <w:t>134</w:t>
      </w:r>
    </w:p>
    <w:p w:rsidR="00502CD2" w:rsidRDefault="00502CD2" w:rsidP="00502CD2">
      <w:pPr>
        <w:jc w:val="center"/>
        <w:rPr>
          <w:sz w:val="28"/>
          <w:szCs w:val="28"/>
        </w:rPr>
      </w:pPr>
      <w:proofErr w:type="spellStart"/>
      <w:r w:rsidRPr="00B042DE">
        <w:rPr>
          <w:sz w:val="28"/>
          <w:szCs w:val="28"/>
        </w:rPr>
        <w:t>пгт</w:t>
      </w:r>
      <w:proofErr w:type="spellEnd"/>
      <w:r w:rsidR="00F626C2">
        <w:rPr>
          <w:sz w:val="28"/>
          <w:szCs w:val="28"/>
        </w:rPr>
        <w:t xml:space="preserve"> </w:t>
      </w:r>
      <w:r w:rsidRPr="00B042DE">
        <w:rPr>
          <w:sz w:val="28"/>
          <w:szCs w:val="28"/>
        </w:rPr>
        <w:t>Демьяново</w:t>
      </w:r>
    </w:p>
    <w:p w:rsidR="00F626C2" w:rsidRDefault="00F626C2" w:rsidP="00502CD2">
      <w:pPr>
        <w:jc w:val="center"/>
        <w:rPr>
          <w:sz w:val="28"/>
          <w:szCs w:val="28"/>
        </w:rPr>
      </w:pPr>
    </w:p>
    <w:p w:rsidR="00F626C2" w:rsidRDefault="00F626C2" w:rsidP="00502CD2">
      <w:pPr>
        <w:jc w:val="center"/>
        <w:rPr>
          <w:sz w:val="28"/>
          <w:szCs w:val="28"/>
        </w:rPr>
      </w:pPr>
    </w:p>
    <w:p w:rsidR="003267D3" w:rsidRDefault="003267D3" w:rsidP="003267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4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методики прогнозирования</w:t>
      </w:r>
    </w:p>
    <w:p w:rsidR="003267D3" w:rsidRDefault="003267D3" w:rsidP="003267D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поступлений по источникам финансирования</w:t>
      </w:r>
    </w:p>
    <w:p w:rsidR="003267D3" w:rsidRDefault="003267D3" w:rsidP="003267D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городского поселения</w:t>
      </w:r>
    </w:p>
    <w:p w:rsidR="00F626C2" w:rsidRDefault="00F626C2" w:rsidP="00F626C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267D3" w:rsidRDefault="003267D3" w:rsidP="003267D3">
      <w:pPr>
        <w:pStyle w:val="ConsPlusNonformat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7D3">
        <w:rPr>
          <w:rFonts w:ascii="Times New Roman" w:hAnsi="Times New Roman"/>
          <w:sz w:val="28"/>
          <w:szCs w:val="28"/>
        </w:rPr>
        <w:t>В соот</w:t>
      </w:r>
      <w:r>
        <w:rPr>
          <w:rFonts w:ascii="Times New Roman" w:hAnsi="Times New Roman"/>
          <w:sz w:val="28"/>
          <w:szCs w:val="28"/>
        </w:rPr>
        <w:t>ветствии с пунктом 1 статьи 160.</w:t>
      </w:r>
      <w:r w:rsidRPr="003267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267D3">
        <w:rPr>
          <w:rFonts w:ascii="Times New Roman" w:hAnsi="Times New Roman"/>
          <w:sz w:val="28"/>
          <w:szCs w:val="28"/>
        </w:rPr>
        <w:t xml:space="preserve"> Бюджетного кодекса Росси</w:t>
      </w:r>
      <w:r w:rsidRPr="003267D3">
        <w:rPr>
          <w:rFonts w:ascii="Times New Roman" w:hAnsi="Times New Roman"/>
          <w:sz w:val="28"/>
          <w:szCs w:val="28"/>
        </w:rPr>
        <w:t>й</w:t>
      </w:r>
      <w:r w:rsidRPr="003267D3">
        <w:rPr>
          <w:rFonts w:ascii="Times New Roman" w:hAnsi="Times New Roman"/>
          <w:sz w:val="28"/>
          <w:szCs w:val="28"/>
        </w:rPr>
        <w:t>ской федерации и постановлением Правительства Российской федерации от 25.05.2016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7D3">
        <w:rPr>
          <w:rFonts w:ascii="Times New Roman" w:hAnsi="Times New Roman"/>
          <w:sz w:val="28"/>
          <w:szCs w:val="28"/>
        </w:rPr>
        <w:t>469 «Об общих требованиях к методике прогнозирования пост</w:t>
      </w:r>
      <w:r w:rsidRPr="003267D3">
        <w:rPr>
          <w:rFonts w:ascii="Times New Roman" w:hAnsi="Times New Roman"/>
          <w:sz w:val="28"/>
          <w:szCs w:val="28"/>
        </w:rPr>
        <w:t>у</w:t>
      </w:r>
      <w:r w:rsidRPr="003267D3">
        <w:rPr>
          <w:rFonts w:ascii="Times New Roman" w:hAnsi="Times New Roman"/>
          <w:sz w:val="28"/>
          <w:szCs w:val="28"/>
        </w:rPr>
        <w:t>плений по источникам  финансирования дефицита бюджета» утвердить мет</w:t>
      </w:r>
      <w:r w:rsidRPr="003267D3">
        <w:rPr>
          <w:rFonts w:ascii="Times New Roman" w:hAnsi="Times New Roman"/>
          <w:sz w:val="28"/>
          <w:szCs w:val="28"/>
        </w:rPr>
        <w:t>о</w:t>
      </w:r>
      <w:r w:rsidRPr="003267D3">
        <w:rPr>
          <w:rFonts w:ascii="Times New Roman" w:hAnsi="Times New Roman"/>
          <w:sz w:val="28"/>
          <w:szCs w:val="28"/>
        </w:rPr>
        <w:t>дику прогнозирования поступлений по источникам  финансирования деф</w:t>
      </w:r>
      <w:r w:rsidRPr="003267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цита  бюджета </w:t>
      </w:r>
      <w:proofErr w:type="spellStart"/>
      <w:r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3267D3">
        <w:rPr>
          <w:rFonts w:ascii="Times New Roman" w:hAnsi="Times New Roman"/>
          <w:sz w:val="28"/>
          <w:szCs w:val="28"/>
        </w:rPr>
        <w:t xml:space="preserve"> городского поселения согласно приложению.</w:t>
      </w:r>
    </w:p>
    <w:p w:rsidR="003267D3" w:rsidRDefault="003267D3" w:rsidP="003267D3">
      <w:pPr>
        <w:pStyle w:val="ConsPlusNonformat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6C2" w:rsidRPr="003267D3" w:rsidRDefault="00F626C2" w:rsidP="003267D3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267D3">
        <w:rPr>
          <w:sz w:val="28"/>
          <w:szCs w:val="28"/>
        </w:rPr>
        <w:t>Разместить</w:t>
      </w:r>
      <w:proofErr w:type="gramEnd"/>
      <w:r w:rsidRPr="003267D3">
        <w:rPr>
          <w:sz w:val="28"/>
          <w:szCs w:val="28"/>
        </w:rPr>
        <w:t xml:space="preserve"> настоящее постановление в разделе «Муниципальные образования» на официальном сайте Правительства Кировской области: </w:t>
      </w:r>
      <w:hyperlink r:id="rId7" w:history="1">
        <w:r w:rsidRPr="003267D3">
          <w:rPr>
            <w:rStyle w:val="a3"/>
            <w:color w:val="auto"/>
            <w:sz w:val="28"/>
            <w:szCs w:val="28"/>
            <w:lang w:val="en-US"/>
          </w:rPr>
          <w:t>https</w:t>
        </w:r>
        <w:r w:rsidRPr="003267D3">
          <w:rPr>
            <w:rStyle w:val="a3"/>
            <w:color w:val="auto"/>
            <w:sz w:val="28"/>
            <w:szCs w:val="28"/>
          </w:rPr>
          <w:t>://</w:t>
        </w:r>
        <w:r w:rsidRPr="003267D3">
          <w:rPr>
            <w:rStyle w:val="a3"/>
            <w:color w:val="auto"/>
            <w:sz w:val="28"/>
            <w:szCs w:val="28"/>
            <w:lang w:val="en-US"/>
          </w:rPr>
          <w:t>www</w:t>
        </w:r>
        <w:r w:rsidRPr="003267D3">
          <w:rPr>
            <w:rStyle w:val="a3"/>
            <w:color w:val="auto"/>
            <w:sz w:val="28"/>
            <w:szCs w:val="28"/>
          </w:rPr>
          <w:t>.</w:t>
        </w:r>
        <w:r w:rsidRPr="003267D3">
          <w:rPr>
            <w:rStyle w:val="a3"/>
            <w:color w:val="auto"/>
            <w:sz w:val="28"/>
            <w:szCs w:val="28"/>
            <w:lang w:val="en-US"/>
          </w:rPr>
          <w:t>municipal</w:t>
        </w:r>
        <w:r w:rsidRPr="003267D3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267D3">
          <w:rPr>
            <w:rStyle w:val="a3"/>
            <w:color w:val="auto"/>
            <w:sz w:val="28"/>
            <w:szCs w:val="28"/>
            <w:lang w:val="en-US"/>
          </w:rPr>
          <w:t>ako</w:t>
        </w:r>
        <w:proofErr w:type="spellEnd"/>
        <w:r w:rsidRPr="003267D3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267D3">
          <w:rPr>
            <w:rStyle w:val="a3"/>
            <w:color w:val="auto"/>
            <w:sz w:val="28"/>
            <w:szCs w:val="28"/>
            <w:lang w:val="en-US"/>
          </w:rPr>
          <w:t>kirov</w:t>
        </w:r>
        <w:proofErr w:type="spellEnd"/>
        <w:r w:rsidRPr="003267D3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267D3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3267D3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3267D3">
          <w:rPr>
            <w:rStyle w:val="a3"/>
            <w:color w:val="auto"/>
            <w:sz w:val="28"/>
            <w:szCs w:val="28"/>
            <w:lang w:val="en-US"/>
          </w:rPr>
          <w:t>podosinovsky</w:t>
        </w:r>
        <w:proofErr w:type="spellEnd"/>
        <w:r w:rsidRPr="003267D3">
          <w:rPr>
            <w:rStyle w:val="a3"/>
            <w:color w:val="auto"/>
            <w:sz w:val="28"/>
            <w:szCs w:val="28"/>
          </w:rPr>
          <w:t>/</w:t>
        </w:r>
      </w:hyperlink>
      <w:r w:rsidRPr="003267D3">
        <w:rPr>
          <w:sz w:val="28"/>
          <w:szCs w:val="28"/>
        </w:rPr>
        <w:t>.</w:t>
      </w:r>
    </w:p>
    <w:p w:rsidR="00F626C2" w:rsidRDefault="00F626C2" w:rsidP="003267D3">
      <w:pPr>
        <w:numPr>
          <w:ilvl w:val="0"/>
          <w:numId w:val="2"/>
        </w:numPr>
        <w:tabs>
          <w:tab w:val="left" w:pos="-567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настоящего постановления оставляю за собой.  </w:t>
      </w:r>
    </w:p>
    <w:p w:rsidR="00F626C2" w:rsidRDefault="00F626C2" w:rsidP="00F626C2">
      <w:pPr>
        <w:pStyle w:val="a5"/>
        <w:ind w:left="360"/>
        <w:rPr>
          <w:sz w:val="28"/>
          <w:szCs w:val="28"/>
        </w:rPr>
      </w:pPr>
    </w:p>
    <w:p w:rsidR="003267D3" w:rsidRDefault="003267D3" w:rsidP="00F626C2">
      <w:pPr>
        <w:pStyle w:val="a5"/>
        <w:ind w:left="360"/>
        <w:rPr>
          <w:sz w:val="28"/>
          <w:szCs w:val="28"/>
        </w:rPr>
      </w:pPr>
    </w:p>
    <w:p w:rsidR="003267D3" w:rsidRDefault="003267D3" w:rsidP="00F626C2">
      <w:pPr>
        <w:pStyle w:val="a5"/>
        <w:ind w:left="360"/>
        <w:rPr>
          <w:sz w:val="28"/>
          <w:szCs w:val="28"/>
        </w:rPr>
      </w:pPr>
    </w:p>
    <w:p w:rsidR="00F626C2" w:rsidRDefault="00F626C2" w:rsidP="00F626C2">
      <w:pPr>
        <w:pStyle w:val="a5"/>
        <w:ind w:left="360"/>
        <w:rPr>
          <w:sz w:val="28"/>
          <w:szCs w:val="28"/>
        </w:rPr>
      </w:pPr>
    </w:p>
    <w:p w:rsidR="00F626C2" w:rsidRDefault="00F626C2" w:rsidP="00F626C2">
      <w:pPr>
        <w:pStyle w:val="a5"/>
        <w:ind w:left="360"/>
        <w:rPr>
          <w:sz w:val="28"/>
          <w:szCs w:val="28"/>
        </w:rPr>
      </w:pPr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  <w:r w:rsidRPr="00F626C2">
        <w:rPr>
          <w:sz w:val="28"/>
          <w:szCs w:val="28"/>
        </w:rPr>
        <w:t xml:space="preserve">Глава Администрации </w:t>
      </w:r>
      <w:proofErr w:type="spellStart"/>
      <w:r w:rsidRPr="00F626C2">
        <w:rPr>
          <w:sz w:val="28"/>
          <w:szCs w:val="28"/>
        </w:rPr>
        <w:t>Демьяновского</w:t>
      </w:r>
      <w:proofErr w:type="spellEnd"/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  <w:r w:rsidRPr="00F626C2">
        <w:rPr>
          <w:sz w:val="28"/>
          <w:szCs w:val="28"/>
        </w:rPr>
        <w:t xml:space="preserve">городского поселения                                           </w:t>
      </w:r>
      <w:r>
        <w:rPr>
          <w:sz w:val="28"/>
          <w:szCs w:val="28"/>
        </w:rPr>
        <w:t xml:space="preserve">                         С.Г. </w:t>
      </w:r>
      <w:proofErr w:type="spellStart"/>
      <w:r w:rsidRPr="00F626C2">
        <w:rPr>
          <w:sz w:val="28"/>
          <w:szCs w:val="28"/>
        </w:rPr>
        <w:t>Инькова</w:t>
      </w:r>
      <w:proofErr w:type="spellEnd"/>
    </w:p>
    <w:p w:rsidR="00F626C2" w:rsidRPr="00F626C2" w:rsidRDefault="00F626C2" w:rsidP="00F626C2">
      <w:pPr>
        <w:pStyle w:val="a5"/>
        <w:pBdr>
          <w:bottom w:val="single" w:sz="8" w:space="2" w:color="000000"/>
        </w:pBdr>
        <w:spacing w:line="200" w:lineRule="atLeast"/>
        <w:ind w:left="360"/>
        <w:jc w:val="both"/>
        <w:rPr>
          <w:sz w:val="28"/>
          <w:szCs w:val="28"/>
        </w:rPr>
      </w:pPr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  <w:r w:rsidRPr="00F626C2">
        <w:rPr>
          <w:sz w:val="28"/>
          <w:szCs w:val="28"/>
        </w:rPr>
        <w:t>ПОДГОТОВЛЕНО:</w:t>
      </w:r>
    </w:p>
    <w:p w:rsidR="00F626C2" w:rsidRPr="00F626C2" w:rsidRDefault="00F626C2" w:rsidP="00F626C2">
      <w:pPr>
        <w:pStyle w:val="a5"/>
        <w:ind w:left="360"/>
        <w:jc w:val="both"/>
        <w:rPr>
          <w:sz w:val="28"/>
          <w:szCs w:val="28"/>
        </w:rPr>
      </w:pPr>
      <w:r w:rsidRPr="00F626C2">
        <w:rPr>
          <w:sz w:val="28"/>
          <w:szCs w:val="28"/>
        </w:rPr>
        <w:t xml:space="preserve">Заместитель главы Администрации                                        </w:t>
      </w:r>
      <w:r>
        <w:rPr>
          <w:sz w:val="28"/>
          <w:szCs w:val="28"/>
        </w:rPr>
        <w:t xml:space="preserve">А.В. Злобин </w:t>
      </w:r>
    </w:p>
    <w:p w:rsidR="0001519E" w:rsidRDefault="0001519E"/>
    <w:p w:rsidR="0001519E" w:rsidRDefault="0001519E"/>
    <w:p w:rsidR="004B6EFE" w:rsidRDefault="004B6EFE"/>
    <w:p w:rsidR="0001519E" w:rsidRDefault="0001519E"/>
    <w:p w:rsidR="003267D3" w:rsidRPr="00532E76" w:rsidRDefault="003267D3" w:rsidP="003267D3">
      <w:pPr>
        <w:spacing w:after="240"/>
        <w:ind w:left="5670" w:right="34" w:hanging="272"/>
        <w:rPr>
          <w:color w:val="000000"/>
          <w:sz w:val="28"/>
          <w:szCs w:val="28"/>
        </w:rPr>
      </w:pPr>
      <w:r w:rsidRPr="00532E76">
        <w:rPr>
          <w:color w:val="000000"/>
          <w:sz w:val="28"/>
          <w:szCs w:val="28"/>
        </w:rPr>
        <w:lastRenderedPageBreak/>
        <w:t>УТВЕРЖДЕН</w:t>
      </w:r>
      <w:r>
        <w:rPr>
          <w:color w:val="000000"/>
          <w:sz w:val="28"/>
          <w:szCs w:val="28"/>
        </w:rPr>
        <w:t>А</w:t>
      </w:r>
    </w:p>
    <w:p w:rsidR="003267D3" w:rsidRPr="00D461C3" w:rsidRDefault="003267D3" w:rsidP="003267D3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3267D3" w:rsidRDefault="003267D3" w:rsidP="003267D3">
      <w:pPr>
        <w:ind w:left="5670" w:right="34" w:hanging="27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Демьяновского</w:t>
      </w:r>
      <w:proofErr w:type="spellEnd"/>
      <w:r>
        <w:rPr>
          <w:color w:val="000000"/>
          <w:sz w:val="28"/>
          <w:szCs w:val="28"/>
        </w:rPr>
        <w:t xml:space="preserve"> городского</w:t>
      </w:r>
    </w:p>
    <w:p w:rsidR="003267D3" w:rsidRPr="00532E76" w:rsidRDefault="003267D3" w:rsidP="003267D3">
      <w:pPr>
        <w:ind w:left="5670" w:right="34" w:hanging="2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</w:p>
    <w:p w:rsidR="003267D3" w:rsidRPr="00532E76" w:rsidRDefault="003267D3" w:rsidP="003267D3">
      <w:pPr>
        <w:ind w:left="5670" w:right="34" w:hanging="270"/>
        <w:rPr>
          <w:b/>
          <w:sz w:val="28"/>
          <w:szCs w:val="28"/>
        </w:rPr>
      </w:pPr>
      <w:r w:rsidRPr="00532E7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27.12.2019  </w:t>
      </w:r>
      <w:r w:rsidRPr="00532E7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 134</w:t>
      </w:r>
    </w:p>
    <w:p w:rsidR="003267D3" w:rsidRPr="00532E76" w:rsidRDefault="003267D3" w:rsidP="003267D3">
      <w:pPr>
        <w:pStyle w:val="a8"/>
        <w:jc w:val="both"/>
        <w:rPr>
          <w:b w:val="0"/>
          <w:sz w:val="28"/>
          <w:szCs w:val="28"/>
        </w:rPr>
      </w:pPr>
    </w:p>
    <w:p w:rsidR="003267D3" w:rsidRPr="00532E76" w:rsidRDefault="003267D3" w:rsidP="003267D3">
      <w:pPr>
        <w:pStyle w:val="a8"/>
        <w:jc w:val="both"/>
        <w:rPr>
          <w:b w:val="0"/>
          <w:sz w:val="28"/>
          <w:szCs w:val="28"/>
        </w:rPr>
      </w:pPr>
    </w:p>
    <w:p w:rsidR="003267D3" w:rsidRDefault="003267D3" w:rsidP="003267D3">
      <w:pPr>
        <w:pStyle w:val="a8"/>
        <w:rPr>
          <w:sz w:val="28"/>
          <w:szCs w:val="28"/>
        </w:rPr>
      </w:pPr>
      <w:r w:rsidRPr="00532E76">
        <w:rPr>
          <w:sz w:val="28"/>
          <w:szCs w:val="28"/>
        </w:rPr>
        <w:t>М</w:t>
      </w:r>
      <w:r>
        <w:rPr>
          <w:sz w:val="28"/>
          <w:szCs w:val="28"/>
        </w:rPr>
        <w:t>ЕТОДИКА</w:t>
      </w:r>
    </w:p>
    <w:p w:rsidR="003267D3" w:rsidRPr="00532E76" w:rsidRDefault="003267D3" w:rsidP="003267D3">
      <w:pPr>
        <w:pStyle w:val="a8"/>
        <w:spacing w:after="480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>Прогнозирования поступлений по источникам финансирования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фицита поселения</w:t>
      </w:r>
    </w:p>
    <w:p w:rsidR="003267D3" w:rsidRDefault="003267D3" w:rsidP="003267D3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267D3">
        <w:rPr>
          <w:b w:val="0"/>
          <w:sz w:val="28"/>
          <w:szCs w:val="28"/>
        </w:rPr>
        <w:t>1. Методика прогнозирования поступлений по источникам финансиров</w:t>
      </w:r>
      <w:r w:rsidRPr="003267D3">
        <w:rPr>
          <w:b w:val="0"/>
          <w:sz w:val="28"/>
          <w:szCs w:val="28"/>
        </w:rPr>
        <w:t>а</w:t>
      </w:r>
      <w:r w:rsidRPr="003267D3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ия дефицита бюджета поселения (</w:t>
      </w:r>
      <w:r w:rsidRPr="003267D3">
        <w:rPr>
          <w:b w:val="0"/>
          <w:sz w:val="28"/>
          <w:szCs w:val="28"/>
        </w:rPr>
        <w:t>далее</w:t>
      </w:r>
      <w:r>
        <w:rPr>
          <w:b w:val="0"/>
          <w:sz w:val="28"/>
          <w:szCs w:val="28"/>
        </w:rPr>
        <w:t xml:space="preserve"> </w:t>
      </w:r>
      <w:r w:rsidRPr="003267D3">
        <w:rPr>
          <w:b w:val="0"/>
          <w:sz w:val="28"/>
          <w:szCs w:val="28"/>
        </w:rPr>
        <w:t>- методика) определяет алгоритм расч</w:t>
      </w:r>
      <w:r w:rsidRPr="003267D3">
        <w:rPr>
          <w:b w:val="0"/>
          <w:sz w:val="28"/>
          <w:szCs w:val="28"/>
        </w:rPr>
        <w:t>е</w:t>
      </w:r>
      <w:r w:rsidRPr="003267D3">
        <w:rPr>
          <w:b w:val="0"/>
          <w:sz w:val="28"/>
          <w:szCs w:val="28"/>
        </w:rPr>
        <w:t>та прогнозного объема по каждому виду поступлений по источникам финансирования дефицита бюджета, бюджетные полномочия главного а</w:t>
      </w:r>
      <w:r w:rsidRPr="003267D3">
        <w:rPr>
          <w:b w:val="0"/>
          <w:sz w:val="28"/>
          <w:szCs w:val="28"/>
        </w:rPr>
        <w:t>д</w:t>
      </w:r>
      <w:r w:rsidRPr="003267D3">
        <w:rPr>
          <w:b w:val="0"/>
          <w:sz w:val="28"/>
          <w:szCs w:val="28"/>
        </w:rPr>
        <w:t xml:space="preserve">министратора по которым осуществляет Администрация </w:t>
      </w:r>
      <w:proofErr w:type="spellStart"/>
      <w:r>
        <w:rPr>
          <w:b w:val="0"/>
          <w:sz w:val="28"/>
          <w:szCs w:val="28"/>
        </w:rPr>
        <w:t>Демьяновского</w:t>
      </w:r>
      <w:proofErr w:type="spellEnd"/>
      <w:r w:rsidRPr="003267D3">
        <w:rPr>
          <w:b w:val="0"/>
          <w:sz w:val="28"/>
          <w:szCs w:val="28"/>
        </w:rPr>
        <w:t xml:space="preserve"> городского поселения Кировской области</w:t>
      </w:r>
      <w:r>
        <w:rPr>
          <w:b w:val="0"/>
          <w:sz w:val="28"/>
          <w:szCs w:val="28"/>
        </w:rPr>
        <w:t xml:space="preserve"> </w:t>
      </w:r>
      <w:r w:rsidRPr="003267D3">
        <w:rPr>
          <w:b w:val="0"/>
          <w:sz w:val="28"/>
          <w:szCs w:val="28"/>
        </w:rPr>
        <w:t>(далее источники финансирования дефицита бюджета)</w:t>
      </w:r>
      <w:r>
        <w:rPr>
          <w:b w:val="0"/>
          <w:sz w:val="28"/>
          <w:szCs w:val="28"/>
        </w:rPr>
        <w:t>.</w:t>
      </w:r>
    </w:p>
    <w:p w:rsidR="003267D3" w:rsidRPr="003267D3" w:rsidRDefault="003267D3" w:rsidP="003267D3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267D3">
        <w:rPr>
          <w:b w:val="0"/>
          <w:sz w:val="28"/>
          <w:szCs w:val="28"/>
        </w:rPr>
        <w:t>2.</w:t>
      </w:r>
      <w:r w:rsidRPr="003267D3">
        <w:rPr>
          <w:b w:val="0"/>
          <w:sz w:val="28"/>
          <w:szCs w:val="28"/>
        </w:rPr>
        <w:tab/>
        <w:t>Перечень поступлений  по источникам финансирования дефицита бюджета сформирован исходя из возможных источников дефицита бюдж</w:t>
      </w:r>
      <w:r w:rsidRPr="003267D3">
        <w:rPr>
          <w:b w:val="0"/>
          <w:sz w:val="28"/>
          <w:szCs w:val="28"/>
        </w:rPr>
        <w:t>е</w:t>
      </w:r>
      <w:r w:rsidRPr="003267D3">
        <w:rPr>
          <w:b w:val="0"/>
          <w:sz w:val="28"/>
          <w:szCs w:val="28"/>
        </w:rPr>
        <w:t xml:space="preserve">та  утверждаемых Решением </w:t>
      </w:r>
      <w:proofErr w:type="spellStart"/>
      <w:r>
        <w:rPr>
          <w:b w:val="0"/>
          <w:sz w:val="28"/>
          <w:szCs w:val="28"/>
        </w:rPr>
        <w:t>Демьяновской</w:t>
      </w:r>
      <w:proofErr w:type="spellEnd"/>
      <w:r w:rsidRPr="003267D3">
        <w:rPr>
          <w:b w:val="0"/>
          <w:sz w:val="28"/>
          <w:szCs w:val="28"/>
        </w:rPr>
        <w:t xml:space="preserve"> поселково</w:t>
      </w:r>
      <w:r>
        <w:rPr>
          <w:b w:val="0"/>
          <w:sz w:val="28"/>
          <w:szCs w:val="28"/>
        </w:rPr>
        <w:t xml:space="preserve">й Думы «О бюджете </w:t>
      </w:r>
      <w:proofErr w:type="spellStart"/>
      <w:r>
        <w:rPr>
          <w:b w:val="0"/>
          <w:sz w:val="28"/>
          <w:szCs w:val="28"/>
        </w:rPr>
        <w:t>Демьяновского</w:t>
      </w:r>
      <w:proofErr w:type="spellEnd"/>
      <w:r w:rsidRPr="003267D3">
        <w:rPr>
          <w:b w:val="0"/>
          <w:sz w:val="28"/>
          <w:szCs w:val="28"/>
        </w:rPr>
        <w:t xml:space="preserve"> городского посел</w:t>
      </w:r>
      <w:r w:rsidRPr="003267D3">
        <w:rPr>
          <w:b w:val="0"/>
          <w:sz w:val="28"/>
          <w:szCs w:val="28"/>
        </w:rPr>
        <w:t>е</w:t>
      </w:r>
      <w:r w:rsidRPr="003267D3">
        <w:rPr>
          <w:b w:val="0"/>
          <w:sz w:val="28"/>
          <w:szCs w:val="28"/>
        </w:rPr>
        <w:t>ния»</w:t>
      </w:r>
    </w:p>
    <w:p w:rsidR="003267D3" w:rsidRDefault="003267D3" w:rsidP="003267D3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267D3">
        <w:rPr>
          <w:b w:val="0"/>
          <w:sz w:val="28"/>
          <w:szCs w:val="28"/>
        </w:rPr>
        <w:t xml:space="preserve">3. Перечень поступлений по источникам финансирования дефицита бюджета приведен в приложении </w:t>
      </w:r>
      <w:r>
        <w:rPr>
          <w:b w:val="0"/>
          <w:sz w:val="28"/>
          <w:szCs w:val="28"/>
        </w:rPr>
        <w:t xml:space="preserve">№ </w:t>
      </w:r>
      <w:r w:rsidRPr="003267D3">
        <w:rPr>
          <w:b w:val="0"/>
          <w:sz w:val="28"/>
          <w:szCs w:val="28"/>
        </w:rPr>
        <w:t xml:space="preserve">1 к настоящей </w:t>
      </w:r>
      <w:r>
        <w:rPr>
          <w:b w:val="0"/>
          <w:sz w:val="28"/>
          <w:szCs w:val="28"/>
        </w:rPr>
        <w:t>М</w:t>
      </w:r>
      <w:r w:rsidRPr="003267D3">
        <w:rPr>
          <w:b w:val="0"/>
          <w:sz w:val="28"/>
          <w:szCs w:val="28"/>
        </w:rPr>
        <w:t>етод</w:t>
      </w:r>
      <w:r w:rsidRPr="003267D3">
        <w:rPr>
          <w:b w:val="0"/>
          <w:sz w:val="28"/>
          <w:szCs w:val="28"/>
        </w:rPr>
        <w:t>и</w:t>
      </w:r>
      <w:r w:rsidRPr="003267D3">
        <w:rPr>
          <w:b w:val="0"/>
          <w:sz w:val="28"/>
          <w:szCs w:val="28"/>
        </w:rPr>
        <w:t>ке.</w:t>
      </w:r>
    </w:p>
    <w:p w:rsidR="003267D3" w:rsidRPr="003267D3" w:rsidRDefault="003267D3" w:rsidP="003267D3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267D3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</w:t>
      </w:r>
      <w:r w:rsidRPr="003267D3">
        <w:rPr>
          <w:b w:val="0"/>
          <w:sz w:val="28"/>
          <w:szCs w:val="28"/>
        </w:rPr>
        <w:t>Описание алгоритма (формулы) расчета прогнозного объема по ка</w:t>
      </w:r>
      <w:r w:rsidRPr="003267D3">
        <w:rPr>
          <w:b w:val="0"/>
          <w:sz w:val="28"/>
          <w:szCs w:val="28"/>
        </w:rPr>
        <w:t>ж</w:t>
      </w:r>
      <w:r w:rsidRPr="003267D3">
        <w:rPr>
          <w:b w:val="0"/>
          <w:sz w:val="28"/>
          <w:szCs w:val="28"/>
        </w:rPr>
        <w:t xml:space="preserve">дому виду поступлений по источникам финансирования дефицита  бюджета </w:t>
      </w:r>
      <w:proofErr w:type="gramStart"/>
      <w:r w:rsidRPr="003267D3">
        <w:rPr>
          <w:b w:val="0"/>
          <w:sz w:val="28"/>
          <w:szCs w:val="28"/>
        </w:rPr>
        <w:t>приведен</w:t>
      </w:r>
      <w:proofErr w:type="gramEnd"/>
      <w:r w:rsidRPr="003267D3">
        <w:rPr>
          <w:b w:val="0"/>
          <w:sz w:val="28"/>
          <w:szCs w:val="28"/>
        </w:rPr>
        <w:t xml:space="preserve"> в приложении </w:t>
      </w:r>
      <w:r>
        <w:rPr>
          <w:b w:val="0"/>
          <w:sz w:val="28"/>
          <w:szCs w:val="28"/>
        </w:rPr>
        <w:t>№ 2 к настоящей М</w:t>
      </w:r>
      <w:r w:rsidRPr="003267D3">
        <w:rPr>
          <w:b w:val="0"/>
          <w:sz w:val="28"/>
          <w:szCs w:val="28"/>
        </w:rPr>
        <w:t>етод</w:t>
      </w:r>
      <w:r w:rsidRPr="003267D3">
        <w:rPr>
          <w:b w:val="0"/>
          <w:sz w:val="28"/>
          <w:szCs w:val="28"/>
        </w:rPr>
        <w:t>и</w:t>
      </w:r>
      <w:r w:rsidRPr="003267D3">
        <w:rPr>
          <w:b w:val="0"/>
          <w:sz w:val="28"/>
          <w:szCs w:val="28"/>
        </w:rPr>
        <w:t>ке.</w:t>
      </w:r>
    </w:p>
    <w:p w:rsidR="003267D3" w:rsidRPr="003267D3" w:rsidRDefault="003267D3" w:rsidP="003267D3">
      <w:pPr>
        <w:spacing w:line="360" w:lineRule="auto"/>
        <w:ind w:left="360"/>
        <w:jc w:val="center"/>
        <w:rPr>
          <w:sz w:val="28"/>
          <w:szCs w:val="28"/>
        </w:rPr>
      </w:pPr>
      <w:r w:rsidRPr="003267D3">
        <w:t>__________</w:t>
      </w:r>
    </w:p>
    <w:p w:rsidR="003267D3" w:rsidRDefault="003267D3" w:rsidP="003267D3">
      <w:pPr>
        <w:pStyle w:val="ConsPlusNormal"/>
        <w:widowControl/>
        <w:tabs>
          <w:tab w:val="left" w:pos="5529"/>
        </w:tabs>
        <w:spacing w:line="360" w:lineRule="auto"/>
        <w:ind w:left="77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7D3" w:rsidRDefault="003267D3" w:rsidP="003267D3">
      <w:pPr>
        <w:pStyle w:val="ConsPlusNormal"/>
        <w:widowControl/>
        <w:tabs>
          <w:tab w:val="left" w:pos="5529"/>
        </w:tabs>
        <w:spacing w:line="360" w:lineRule="auto"/>
        <w:ind w:left="77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7D3" w:rsidRDefault="003267D3" w:rsidP="003267D3">
      <w:pPr>
        <w:pStyle w:val="ConsPlusNormal"/>
        <w:widowControl/>
        <w:tabs>
          <w:tab w:val="left" w:pos="5529"/>
        </w:tabs>
        <w:spacing w:line="360" w:lineRule="auto"/>
        <w:ind w:left="77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7D3" w:rsidRDefault="003267D3" w:rsidP="003267D3">
      <w:pPr>
        <w:pStyle w:val="ConsPlusNormal"/>
        <w:widowControl/>
        <w:tabs>
          <w:tab w:val="left" w:pos="5529"/>
        </w:tabs>
        <w:spacing w:line="360" w:lineRule="auto"/>
        <w:ind w:left="77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7D3" w:rsidRDefault="003267D3" w:rsidP="003267D3">
      <w:pPr>
        <w:pStyle w:val="ConsPlusNormal"/>
        <w:widowControl/>
        <w:tabs>
          <w:tab w:val="left" w:pos="552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267D3" w:rsidRPr="004760C8" w:rsidRDefault="003267D3" w:rsidP="003267D3">
      <w:pPr>
        <w:pStyle w:val="ConsPlusNormal"/>
        <w:widowControl/>
        <w:tabs>
          <w:tab w:val="left" w:pos="552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7D3" w:rsidRDefault="003267D3" w:rsidP="003267D3">
      <w:pPr>
        <w:pStyle w:val="ConsPlusNormal"/>
        <w:widowControl/>
        <w:tabs>
          <w:tab w:val="left" w:pos="552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760C8">
        <w:rPr>
          <w:rFonts w:ascii="Times New Roman" w:hAnsi="Times New Roman" w:cs="Times New Roman"/>
          <w:sz w:val="28"/>
          <w:szCs w:val="28"/>
        </w:rPr>
        <w:tab/>
      </w:r>
      <w:r w:rsidRPr="00F2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D3" w:rsidRDefault="003267D3" w:rsidP="003267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558">
        <w:rPr>
          <w:rFonts w:ascii="Times New Roman" w:hAnsi="Times New Roman" w:cs="Times New Roman"/>
          <w:sz w:val="28"/>
          <w:szCs w:val="28"/>
        </w:rPr>
        <w:t>ПЕРЕЧЕНЬ</w:t>
      </w:r>
    </w:p>
    <w:p w:rsidR="003267D3" w:rsidRPr="00260558" w:rsidRDefault="003267D3" w:rsidP="003267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67D3" w:rsidRDefault="003267D3" w:rsidP="003267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558">
        <w:rPr>
          <w:rFonts w:ascii="Times New Roman" w:hAnsi="Times New Roman" w:cs="Times New Roman"/>
          <w:sz w:val="28"/>
          <w:szCs w:val="28"/>
        </w:rPr>
        <w:t>Поступлений по источникам финансирования дефицита бюджета горо</w:t>
      </w:r>
      <w:r w:rsidRPr="00260558">
        <w:rPr>
          <w:rFonts w:ascii="Times New Roman" w:hAnsi="Times New Roman" w:cs="Times New Roman"/>
          <w:sz w:val="28"/>
          <w:szCs w:val="28"/>
        </w:rPr>
        <w:t>д</w:t>
      </w:r>
      <w:r w:rsidRPr="00260558">
        <w:rPr>
          <w:rFonts w:ascii="Times New Roman" w:hAnsi="Times New Roman" w:cs="Times New Roman"/>
          <w:sz w:val="28"/>
          <w:szCs w:val="28"/>
        </w:rPr>
        <w:t xml:space="preserve">ского поселения, бюджетные полномочия главного администратора по которым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260558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Pr="00260558">
        <w:rPr>
          <w:rFonts w:ascii="Times New Roman" w:hAnsi="Times New Roman" w:cs="Times New Roman"/>
          <w:sz w:val="28"/>
          <w:szCs w:val="28"/>
        </w:rPr>
        <w:t>е</w:t>
      </w:r>
      <w:r w:rsidRPr="00260558">
        <w:rPr>
          <w:rFonts w:ascii="Times New Roman" w:hAnsi="Times New Roman" w:cs="Times New Roman"/>
          <w:sz w:val="28"/>
          <w:szCs w:val="28"/>
        </w:rPr>
        <w:t>ния Кировской области</w:t>
      </w:r>
    </w:p>
    <w:p w:rsidR="003267D3" w:rsidRPr="00260558" w:rsidRDefault="003267D3" w:rsidP="003267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736"/>
        <w:gridCol w:w="2303"/>
      </w:tblGrid>
      <w:tr w:rsidR="003267D3" w:rsidRPr="00394EEB" w:rsidTr="003267D3">
        <w:tc>
          <w:tcPr>
            <w:tcW w:w="3708" w:type="dxa"/>
          </w:tcPr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ка финансирования дефицита бюджета</w:t>
            </w:r>
          </w:p>
        </w:tc>
        <w:tc>
          <w:tcPr>
            <w:tcW w:w="3736" w:type="dxa"/>
          </w:tcPr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 xml:space="preserve">ния дефицита бюджета </w:t>
            </w:r>
          </w:p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Условное</w:t>
            </w:r>
          </w:p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</w:t>
            </w:r>
          </w:p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источника</w:t>
            </w:r>
          </w:p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</w:t>
            </w:r>
          </w:p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фицита бюджета</w:t>
            </w:r>
          </w:p>
        </w:tc>
      </w:tr>
      <w:tr w:rsidR="003267D3" w:rsidRPr="00394EEB" w:rsidTr="003267D3">
        <w:tc>
          <w:tcPr>
            <w:tcW w:w="3708" w:type="dxa"/>
          </w:tcPr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 xml:space="preserve"> 01 02 00 </w:t>
            </w:r>
            <w:proofErr w:type="spellStart"/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94EEB">
              <w:rPr>
                <w:rFonts w:ascii="Times New Roman" w:hAnsi="Times New Roman" w:cs="Times New Roman"/>
                <w:sz w:val="28"/>
                <w:szCs w:val="28"/>
              </w:rPr>
              <w:t xml:space="preserve"> 13 0000 710</w:t>
            </w:r>
          </w:p>
        </w:tc>
        <w:tc>
          <w:tcPr>
            <w:tcW w:w="3736" w:type="dxa"/>
          </w:tcPr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дитных организаций бюдж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тами городских поселений в валюте Российской Федер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303" w:type="dxa"/>
          </w:tcPr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Окб</w:t>
            </w:r>
            <w:proofErr w:type="spellEnd"/>
          </w:p>
        </w:tc>
      </w:tr>
      <w:tr w:rsidR="003267D3" w:rsidRPr="00394EEB" w:rsidTr="003267D3">
        <w:tc>
          <w:tcPr>
            <w:tcW w:w="3708" w:type="dxa"/>
          </w:tcPr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 xml:space="preserve"> 01 03 01 00 13 0000 710</w:t>
            </w:r>
          </w:p>
        </w:tc>
        <w:tc>
          <w:tcPr>
            <w:tcW w:w="3736" w:type="dxa"/>
          </w:tcPr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 кр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дитов от других бюджетов бюджетной системы Росси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ской Федерации в  валюте Российской Фед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2303" w:type="dxa"/>
          </w:tcPr>
          <w:p w:rsidR="003267D3" w:rsidRPr="00394EEB" w:rsidRDefault="003267D3" w:rsidP="00337A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EEB">
              <w:rPr>
                <w:rFonts w:ascii="Times New Roman" w:hAnsi="Times New Roman" w:cs="Times New Roman"/>
                <w:sz w:val="28"/>
                <w:szCs w:val="28"/>
              </w:rPr>
              <w:t>Обк</w:t>
            </w:r>
            <w:proofErr w:type="spellEnd"/>
          </w:p>
        </w:tc>
      </w:tr>
    </w:tbl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Default="003267D3" w:rsidP="003267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D3" w:rsidRPr="00561CAD" w:rsidRDefault="003267D3" w:rsidP="003267D3">
      <w:pPr>
        <w:jc w:val="right"/>
        <w:rPr>
          <w:sz w:val="28"/>
          <w:szCs w:val="28"/>
        </w:rPr>
      </w:pPr>
      <w:r w:rsidRPr="00561CA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 </w:t>
      </w:r>
      <w:r w:rsidRPr="00561CAD">
        <w:rPr>
          <w:sz w:val="28"/>
          <w:szCs w:val="28"/>
        </w:rPr>
        <w:t>2</w:t>
      </w:r>
    </w:p>
    <w:p w:rsidR="003267D3" w:rsidRPr="00561CAD" w:rsidRDefault="003267D3" w:rsidP="003267D3">
      <w:pPr>
        <w:jc w:val="right"/>
        <w:rPr>
          <w:sz w:val="28"/>
          <w:szCs w:val="28"/>
        </w:rPr>
      </w:pPr>
    </w:p>
    <w:p w:rsidR="003267D3" w:rsidRDefault="003267D3" w:rsidP="003267D3">
      <w:pPr>
        <w:jc w:val="center"/>
        <w:rPr>
          <w:sz w:val="28"/>
          <w:szCs w:val="28"/>
        </w:rPr>
      </w:pPr>
      <w:r w:rsidRPr="00561CAD">
        <w:rPr>
          <w:sz w:val="28"/>
          <w:szCs w:val="28"/>
        </w:rPr>
        <w:t>ОПИСАНИЕ АЛГОРИТМА</w:t>
      </w:r>
    </w:p>
    <w:p w:rsidR="003267D3" w:rsidRPr="00561CAD" w:rsidRDefault="003267D3" w:rsidP="003267D3">
      <w:pPr>
        <w:jc w:val="center"/>
        <w:rPr>
          <w:sz w:val="28"/>
          <w:szCs w:val="28"/>
        </w:rPr>
      </w:pPr>
    </w:p>
    <w:p w:rsidR="003267D3" w:rsidRPr="00561CAD" w:rsidRDefault="003267D3" w:rsidP="003267D3">
      <w:pPr>
        <w:jc w:val="center"/>
        <w:rPr>
          <w:sz w:val="28"/>
          <w:szCs w:val="28"/>
        </w:rPr>
      </w:pPr>
      <w:r w:rsidRPr="00561CAD">
        <w:rPr>
          <w:sz w:val="28"/>
          <w:szCs w:val="28"/>
        </w:rPr>
        <w:t xml:space="preserve">(формулы) расчета прогнозируемого объема по источникам финансирования дефицита бюджета городского поселения, бюджетные полномочия главного администратора по которым осуществляет Администрации </w:t>
      </w:r>
    </w:p>
    <w:p w:rsidR="003267D3" w:rsidRPr="00561CAD" w:rsidRDefault="003267D3" w:rsidP="003267D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</w:t>
      </w:r>
      <w:r w:rsidRPr="00561CAD">
        <w:rPr>
          <w:sz w:val="28"/>
          <w:szCs w:val="28"/>
        </w:rPr>
        <w:t>городского поселения</w:t>
      </w:r>
    </w:p>
    <w:p w:rsidR="003267D3" w:rsidRPr="00DF7BDD" w:rsidRDefault="003267D3" w:rsidP="003267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985"/>
        <w:gridCol w:w="2126"/>
        <w:gridCol w:w="3509"/>
      </w:tblGrid>
      <w:tr w:rsidR="003267D3" w:rsidRPr="00DF7BDD" w:rsidTr="003267D3">
        <w:trPr>
          <w:trHeight w:val="1989"/>
        </w:trPr>
        <w:tc>
          <w:tcPr>
            <w:tcW w:w="1951" w:type="dxa"/>
          </w:tcPr>
          <w:p w:rsidR="003267D3" w:rsidRPr="00DF7BDD" w:rsidRDefault="003267D3" w:rsidP="00337A97">
            <w:pPr>
              <w:jc w:val="center"/>
            </w:pPr>
            <w:r w:rsidRPr="00DF7BDD">
              <w:t>Условное обознач</w:t>
            </w:r>
            <w:r w:rsidRPr="00DF7BDD">
              <w:t>е</w:t>
            </w:r>
            <w:r w:rsidRPr="00DF7BDD">
              <w:t>ние источника ф</w:t>
            </w:r>
            <w:r w:rsidRPr="00DF7BDD">
              <w:t>и</w:t>
            </w:r>
            <w:r w:rsidRPr="00DF7BDD">
              <w:t>нансирования деф</w:t>
            </w:r>
            <w:r w:rsidRPr="00DF7BDD">
              <w:t>и</w:t>
            </w:r>
            <w:r w:rsidRPr="00DF7BDD">
              <w:t>цита бюджета в с</w:t>
            </w:r>
            <w:r w:rsidRPr="00DF7BDD">
              <w:t>о</w:t>
            </w:r>
            <w:r w:rsidRPr="00DF7BDD">
              <w:t>ответствии с прил</w:t>
            </w:r>
            <w:r w:rsidRPr="00DF7BDD">
              <w:t>о</w:t>
            </w:r>
            <w:r w:rsidRPr="00DF7BDD">
              <w:t xml:space="preserve">жением </w:t>
            </w:r>
            <w:r>
              <w:t xml:space="preserve">№ </w:t>
            </w:r>
            <w:r w:rsidRPr="00DF7BDD">
              <w:t>1</w:t>
            </w:r>
          </w:p>
        </w:tc>
        <w:tc>
          <w:tcPr>
            <w:tcW w:w="1985" w:type="dxa"/>
          </w:tcPr>
          <w:p w:rsidR="003267D3" w:rsidRPr="00DF7BDD" w:rsidRDefault="003267D3" w:rsidP="00337A97">
            <w:pPr>
              <w:jc w:val="center"/>
            </w:pPr>
            <w:r w:rsidRPr="00DF7BDD">
              <w:t>Метод расчета пр</w:t>
            </w:r>
            <w:r w:rsidRPr="00DF7BDD">
              <w:t>о</w:t>
            </w:r>
            <w:r w:rsidRPr="00DF7BDD">
              <w:t>гнозного объема поступлений по источнику финанс</w:t>
            </w:r>
            <w:r w:rsidRPr="00DF7BDD">
              <w:t>и</w:t>
            </w:r>
            <w:r w:rsidRPr="00DF7BDD">
              <w:t>рования дефицита бюджета</w:t>
            </w:r>
          </w:p>
        </w:tc>
        <w:tc>
          <w:tcPr>
            <w:tcW w:w="2126" w:type="dxa"/>
          </w:tcPr>
          <w:p w:rsidR="003267D3" w:rsidRPr="00DF7BDD" w:rsidRDefault="003267D3" w:rsidP="00337A97">
            <w:pPr>
              <w:jc w:val="center"/>
            </w:pPr>
            <w:r w:rsidRPr="00DF7BDD">
              <w:t>Алгоритм (формула) расчета прогноз</w:t>
            </w:r>
            <w:r w:rsidRPr="00DF7BDD">
              <w:t>и</w:t>
            </w:r>
            <w:r w:rsidRPr="00DF7BDD">
              <w:t>руемого объема по источникам фина</w:t>
            </w:r>
            <w:r w:rsidRPr="00DF7BDD">
              <w:t>н</w:t>
            </w:r>
            <w:r w:rsidRPr="00DF7BDD">
              <w:t xml:space="preserve">сирования дефицита бюджета </w:t>
            </w:r>
          </w:p>
        </w:tc>
        <w:tc>
          <w:tcPr>
            <w:tcW w:w="3509" w:type="dxa"/>
          </w:tcPr>
          <w:p w:rsidR="003267D3" w:rsidRPr="00DF7BDD" w:rsidRDefault="003267D3" w:rsidP="00337A97">
            <w:pPr>
              <w:jc w:val="center"/>
            </w:pPr>
            <w:r w:rsidRPr="00DF7BDD">
              <w:t>Описание показателей, необходимых для расчета прогнозного объема поступлений по источникам финансирования дефиц</w:t>
            </w:r>
            <w:r w:rsidRPr="00DF7BDD">
              <w:t>и</w:t>
            </w:r>
            <w:r w:rsidRPr="00DF7BDD">
              <w:t>та бюджета</w:t>
            </w:r>
          </w:p>
        </w:tc>
      </w:tr>
      <w:tr w:rsidR="003267D3" w:rsidRPr="00DF7BDD" w:rsidTr="003267D3">
        <w:tc>
          <w:tcPr>
            <w:tcW w:w="1951" w:type="dxa"/>
          </w:tcPr>
          <w:p w:rsidR="003267D3" w:rsidRPr="00DF7BDD" w:rsidRDefault="003267D3" w:rsidP="00337A97">
            <w:pPr>
              <w:jc w:val="center"/>
            </w:pPr>
            <w:proofErr w:type="spellStart"/>
            <w:r w:rsidRPr="00DF7BDD">
              <w:t>Окб</w:t>
            </w:r>
            <w:proofErr w:type="spellEnd"/>
          </w:p>
        </w:tc>
        <w:tc>
          <w:tcPr>
            <w:tcW w:w="1985" w:type="dxa"/>
          </w:tcPr>
          <w:p w:rsidR="003267D3" w:rsidRPr="00DF7BDD" w:rsidRDefault="003267D3" w:rsidP="00337A97">
            <w:pPr>
              <w:jc w:val="center"/>
            </w:pPr>
            <w:r w:rsidRPr="00DF7BDD">
              <w:t>Метод прямого сч</w:t>
            </w:r>
            <w:r w:rsidRPr="00DF7BDD">
              <w:t>е</w:t>
            </w:r>
            <w:r w:rsidRPr="00DF7BDD">
              <w:t>та</w:t>
            </w:r>
          </w:p>
        </w:tc>
        <w:tc>
          <w:tcPr>
            <w:tcW w:w="2126" w:type="dxa"/>
          </w:tcPr>
          <w:p w:rsidR="003267D3" w:rsidRPr="00DF7BDD" w:rsidRDefault="003267D3" w:rsidP="00337A97">
            <w:pPr>
              <w:jc w:val="center"/>
            </w:pPr>
            <w:r w:rsidRPr="00DF7BDD">
              <w:t xml:space="preserve">О </w:t>
            </w:r>
            <w:proofErr w:type="spellStart"/>
            <w:r w:rsidRPr="00DF7BDD">
              <w:t>кб</w:t>
            </w:r>
            <w:proofErr w:type="gramStart"/>
            <w:r w:rsidRPr="00DF7BDD">
              <w:t>=</w:t>
            </w:r>
            <w:proofErr w:type="spellEnd"/>
            <w:r w:rsidRPr="00DF7BDD">
              <w:t xml:space="preserve"> </w:t>
            </w:r>
            <w:proofErr w:type="spellStart"/>
            <w:r w:rsidRPr="00DF7BDD">
              <w:t>Д</w:t>
            </w:r>
            <w:proofErr w:type="gramEnd"/>
            <w:r w:rsidRPr="00DF7BDD">
              <w:t>+Пк-Ос-Обк</w:t>
            </w:r>
            <w:proofErr w:type="spellEnd"/>
          </w:p>
        </w:tc>
        <w:tc>
          <w:tcPr>
            <w:tcW w:w="3509" w:type="dxa"/>
          </w:tcPr>
          <w:p w:rsidR="003267D3" w:rsidRPr="00DF7BDD" w:rsidRDefault="003267D3" w:rsidP="00337A97">
            <w:pPr>
              <w:jc w:val="both"/>
            </w:pPr>
            <w:r w:rsidRPr="00DF7BDD">
              <w:t>Д – прогнозируемый объем дефицита бюджета поселения на соответствующий финансовый год;</w:t>
            </w:r>
          </w:p>
          <w:p w:rsidR="003267D3" w:rsidRPr="00561CAD" w:rsidRDefault="003267D3" w:rsidP="00337A97">
            <w:pPr>
              <w:jc w:val="both"/>
              <w:rPr>
                <w:color w:val="000000"/>
              </w:rPr>
            </w:pPr>
            <w:proofErr w:type="spellStart"/>
            <w:r w:rsidRPr="00DF7BDD">
              <w:t>Пк</w:t>
            </w:r>
            <w:proofErr w:type="spellEnd"/>
            <w:r w:rsidRPr="00DF7BDD">
              <w:t xml:space="preserve"> - прогнозируемый объем погашения кредитов кредитных организаций и бю</w:t>
            </w:r>
            <w:r w:rsidRPr="00DF7BDD">
              <w:t>д</w:t>
            </w:r>
            <w:r w:rsidRPr="00DF7BDD">
              <w:t xml:space="preserve">жетных кредитов, полученных </w:t>
            </w:r>
            <w:r w:rsidRPr="00561CAD">
              <w:rPr>
                <w:color w:val="000000"/>
              </w:rPr>
              <w:t>от других бюджетов бюджетной системы</w:t>
            </w:r>
            <w:r>
              <w:rPr>
                <w:color w:val="000000"/>
              </w:rPr>
              <w:t xml:space="preserve"> </w:t>
            </w:r>
            <w:r w:rsidRPr="00561CAD">
              <w:rPr>
                <w:color w:val="000000"/>
              </w:rPr>
              <w:t>Росси</w:t>
            </w:r>
            <w:r w:rsidRPr="00561CAD">
              <w:rPr>
                <w:color w:val="000000"/>
              </w:rPr>
              <w:t>й</w:t>
            </w:r>
            <w:r w:rsidRPr="00561CAD">
              <w:rPr>
                <w:color w:val="000000"/>
              </w:rPr>
              <w:t>ской Федерации в соответствующем ф</w:t>
            </w:r>
            <w:r w:rsidRPr="00561CAD">
              <w:rPr>
                <w:color w:val="000000"/>
              </w:rPr>
              <w:t>и</w:t>
            </w:r>
            <w:r w:rsidRPr="00561CAD">
              <w:rPr>
                <w:color w:val="000000"/>
              </w:rPr>
              <w:t>нансовом году;</w:t>
            </w:r>
          </w:p>
          <w:p w:rsidR="003267D3" w:rsidRPr="00561CAD" w:rsidRDefault="003267D3" w:rsidP="00337A97">
            <w:pPr>
              <w:jc w:val="both"/>
              <w:rPr>
                <w:color w:val="000000"/>
              </w:rPr>
            </w:pPr>
            <w:r w:rsidRPr="00561CAD">
              <w:rPr>
                <w:color w:val="000000"/>
              </w:rPr>
              <w:t xml:space="preserve">Ос - </w:t>
            </w:r>
            <w:r w:rsidRPr="00DF7BDD">
              <w:t xml:space="preserve">прогнозируемый  объем изменения остатков средств на счетах по учету средств бюджета </w:t>
            </w:r>
            <w:r w:rsidRPr="00561CAD">
              <w:rPr>
                <w:color w:val="000000"/>
              </w:rPr>
              <w:t>в соответствующем финансовом году;</w:t>
            </w:r>
          </w:p>
          <w:p w:rsidR="003267D3" w:rsidRPr="00561CAD" w:rsidRDefault="003267D3" w:rsidP="00337A97">
            <w:pPr>
              <w:jc w:val="both"/>
              <w:rPr>
                <w:color w:val="000000"/>
              </w:rPr>
            </w:pPr>
            <w:proofErr w:type="spellStart"/>
            <w:r w:rsidRPr="00DF7BDD">
              <w:t>Обк</w:t>
            </w:r>
            <w:proofErr w:type="spellEnd"/>
            <w:r w:rsidRPr="00DF7BDD">
              <w:t xml:space="preserve"> - прогнозируемый  объем</w:t>
            </w:r>
            <w:r w:rsidRPr="00561CAD">
              <w:rPr>
                <w:color w:val="000000"/>
              </w:rPr>
              <w:t xml:space="preserve"> получения кредитов от других бюджетов бюдже</w:t>
            </w:r>
            <w:r w:rsidRPr="00561CAD">
              <w:rPr>
                <w:color w:val="000000"/>
              </w:rPr>
              <w:t>т</w:t>
            </w:r>
            <w:r w:rsidRPr="00561CAD">
              <w:rPr>
                <w:color w:val="000000"/>
              </w:rPr>
              <w:t>ной системы  Российской Федерации в соответствующем финансовом году;</w:t>
            </w:r>
          </w:p>
          <w:p w:rsidR="003267D3" w:rsidRPr="00763F39" w:rsidRDefault="003267D3" w:rsidP="00337A97">
            <w:pPr>
              <w:jc w:val="both"/>
            </w:pPr>
            <w:r w:rsidRPr="00DF7BDD">
              <w:t>При расчете прогнозируемого объема данного показателя  учитываются пол</w:t>
            </w:r>
            <w:r w:rsidRPr="00DF7BDD">
              <w:t>о</w:t>
            </w:r>
            <w:r w:rsidRPr="00DF7BDD">
              <w:t>жения статьи 106 Бюджетного кодекса Российской Федерации и основные н</w:t>
            </w:r>
            <w:r w:rsidRPr="00DF7BDD">
              <w:t>а</w:t>
            </w:r>
            <w:r w:rsidRPr="00DF7BDD">
              <w:t>правления долговой политики района на соответствующий финансовый год</w:t>
            </w:r>
            <w:r w:rsidR="00763F39" w:rsidRPr="00763F39">
              <w:t>;</w:t>
            </w:r>
          </w:p>
        </w:tc>
      </w:tr>
      <w:tr w:rsidR="003267D3" w:rsidRPr="00DF7BDD" w:rsidTr="003267D3">
        <w:tc>
          <w:tcPr>
            <w:tcW w:w="1951" w:type="dxa"/>
          </w:tcPr>
          <w:p w:rsidR="003267D3" w:rsidRPr="00DF7BDD" w:rsidRDefault="003267D3" w:rsidP="00337A97">
            <w:pPr>
              <w:jc w:val="center"/>
            </w:pPr>
            <w:proofErr w:type="spellStart"/>
            <w:r w:rsidRPr="00DF7BDD">
              <w:t>Обк</w:t>
            </w:r>
            <w:proofErr w:type="spellEnd"/>
          </w:p>
        </w:tc>
        <w:tc>
          <w:tcPr>
            <w:tcW w:w="1985" w:type="dxa"/>
          </w:tcPr>
          <w:p w:rsidR="003267D3" w:rsidRPr="00DF7BDD" w:rsidRDefault="003267D3" w:rsidP="00337A97">
            <w:pPr>
              <w:jc w:val="center"/>
            </w:pPr>
            <w:r w:rsidRPr="00DF7BDD">
              <w:t xml:space="preserve">Метод </w:t>
            </w:r>
            <w:r w:rsidRPr="00DF7BDD">
              <w:lastRenderedPageBreak/>
              <w:t>усреднения</w:t>
            </w:r>
          </w:p>
        </w:tc>
        <w:tc>
          <w:tcPr>
            <w:tcW w:w="2126" w:type="dxa"/>
          </w:tcPr>
          <w:p w:rsidR="003267D3" w:rsidRPr="00DF7BDD" w:rsidRDefault="003267D3" w:rsidP="00337A97">
            <w:pPr>
              <w:jc w:val="center"/>
            </w:pPr>
            <w:proofErr w:type="spellStart"/>
            <w:r w:rsidRPr="00DF7BDD">
              <w:lastRenderedPageBreak/>
              <w:t>Обк</w:t>
            </w:r>
            <w:proofErr w:type="spellEnd"/>
            <w:r w:rsidRPr="00DF7BDD">
              <w:t xml:space="preserve">* = </w:t>
            </w:r>
            <w:proofErr w:type="spellStart"/>
            <w:r w:rsidRPr="00DF7BDD">
              <w:t>ФОбк</w:t>
            </w:r>
            <w:proofErr w:type="spellEnd"/>
            <w:r w:rsidRPr="00DF7BDD">
              <w:t>/</w:t>
            </w:r>
            <w:proofErr w:type="spellStart"/>
            <w:r w:rsidRPr="00DF7BDD">
              <w:t>n</w:t>
            </w:r>
            <w:proofErr w:type="spellEnd"/>
          </w:p>
        </w:tc>
        <w:tc>
          <w:tcPr>
            <w:tcW w:w="3509" w:type="dxa"/>
          </w:tcPr>
          <w:p w:rsidR="003267D3" w:rsidRPr="00763F39" w:rsidRDefault="003267D3" w:rsidP="00337A97">
            <w:pPr>
              <w:jc w:val="both"/>
              <w:rPr>
                <w:color w:val="000000"/>
              </w:rPr>
            </w:pPr>
            <w:proofErr w:type="spellStart"/>
            <w:r w:rsidRPr="00DF7BDD">
              <w:t>ФОбк</w:t>
            </w:r>
            <w:proofErr w:type="spellEnd"/>
            <w:r w:rsidRPr="00DF7BDD">
              <w:t xml:space="preserve"> – фактический объем </w:t>
            </w:r>
            <w:r w:rsidRPr="00DF7BDD">
              <w:lastRenderedPageBreak/>
              <w:t>получения бюджетных кредитов от других</w:t>
            </w:r>
            <w:r w:rsidRPr="00561CAD">
              <w:rPr>
                <w:color w:val="000000"/>
              </w:rPr>
              <w:t xml:space="preserve"> бюдж</w:t>
            </w:r>
            <w:r w:rsidRPr="00561CAD">
              <w:rPr>
                <w:color w:val="000000"/>
              </w:rPr>
              <w:t>е</w:t>
            </w:r>
            <w:r w:rsidRPr="00561CAD">
              <w:rPr>
                <w:color w:val="000000"/>
              </w:rPr>
              <w:t xml:space="preserve">тов бюджетной системы  Российской Федерации за </w:t>
            </w:r>
            <w:proofErr w:type="spellStart"/>
            <w:r w:rsidRPr="00561CAD">
              <w:rPr>
                <w:color w:val="000000"/>
              </w:rPr>
              <w:t>n-ное</w:t>
            </w:r>
            <w:proofErr w:type="spellEnd"/>
            <w:r w:rsidRPr="00561CAD">
              <w:rPr>
                <w:color w:val="000000"/>
              </w:rPr>
              <w:t xml:space="preserve"> количество лет, предшествующих периоду прогнозир</w:t>
            </w:r>
            <w:r w:rsidRPr="00561CAD">
              <w:rPr>
                <w:color w:val="000000"/>
              </w:rPr>
              <w:t>о</w:t>
            </w:r>
            <w:r w:rsidRPr="00561CAD">
              <w:rPr>
                <w:color w:val="000000"/>
              </w:rPr>
              <w:t>вания (до 3-х лет)</w:t>
            </w:r>
            <w:r w:rsidR="00763F39" w:rsidRPr="00763F39">
              <w:rPr>
                <w:color w:val="000000"/>
              </w:rPr>
              <w:t>;</w:t>
            </w:r>
          </w:p>
          <w:p w:rsidR="003267D3" w:rsidRPr="00561CAD" w:rsidRDefault="003267D3" w:rsidP="00337A97">
            <w:pPr>
              <w:jc w:val="both"/>
              <w:rPr>
                <w:color w:val="000000"/>
              </w:rPr>
            </w:pPr>
          </w:p>
          <w:p w:rsidR="003267D3" w:rsidRPr="00763F39" w:rsidRDefault="003267D3" w:rsidP="00337A97">
            <w:pPr>
              <w:jc w:val="both"/>
            </w:pPr>
            <w:r w:rsidRPr="00DF7BDD">
              <w:t>При расчете прогнозируемого объема данного показателя  учитываются пол</w:t>
            </w:r>
            <w:r w:rsidRPr="00DF7BDD">
              <w:t>о</w:t>
            </w:r>
            <w:r w:rsidRPr="00DF7BDD">
              <w:t>жения статьи 106 Бюджетного кодекса Российской Федерации и основные н</w:t>
            </w:r>
            <w:r w:rsidRPr="00DF7BDD">
              <w:t>а</w:t>
            </w:r>
            <w:r w:rsidRPr="00DF7BDD">
              <w:t>правления долговой политики района на соответствующий финансовый год</w:t>
            </w:r>
            <w:r w:rsidR="00763F39" w:rsidRPr="00763F39">
              <w:t>;</w:t>
            </w:r>
          </w:p>
          <w:p w:rsidR="003267D3" w:rsidRPr="00DF7BDD" w:rsidRDefault="003267D3" w:rsidP="00337A97">
            <w:pPr>
              <w:jc w:val="both"/>
            </w:pPr>
          </w:p>
          <w:p w:rsidR="003267D3" w:rsidRPr="00DF7BDD" w:rsidRDefault="003267D3" w:rsidP="00337A97">
            <w:pPr>
              <w:jc w:val="both"/>
            </w:pPr>
            <w:r w:rsidRPr="00DF7BDD">
              <w:t>* - при формировании бюджета на соо</w:t>
            </w:r>
            <w:r w:rsidRPr="00DF7BDD">
              <w:t>т</w:t>
            </w:r>
            <w:r w:rsidRPr="00DF7BDD">
              <w:t xml:space="preserve">ветствующий год  в составе </w:t>
            </w:r>
            <w:proofErr w:type="gramStart"/>
            <w:r w:rsidRPr="00DF7BDD">
              <w:t>источников финансирования дефицита бюджета п</w:t>
            </w:r>
            <w:r w:rsidRPr="00DF7BDD">
              <w:t>о</w:t>
            </w:r>
            <w:r w:rsidRPr="00DF7BDD">
              <w:t>селения</w:t>
            </w:r>
            <w:proofErr w:type="gramEnd"/>
            <w:r w:rsidRPr="00DF7BDD">
              <w:t xml:space="preserve"> планируются объемы получения кредитов за счет средств бюджета района на пополнение остатков средств на сч</w:t>
            </w:r>
            <w:r w:rsidRPr="00DF7BDD">
              <w:t>е</w:t>
            </w:r>
            <w:r w:rsidRPr="00DF7BDD">
              <w:t>тах бюджетов муниципальных образов</w:t>
            </w:r>
            <w:r w:rsidRPr="00DF7BDD">
              <w:t>а</w:t>
            </w:r>
            <w:r w:rsidRPr="00DF7BDD">
              <w:t>ний.</w:t>
            </w:r>
          </w:p>
        </w:tc>
      </w:tr>
    </w:tbl>
    <w:p w:rsidR="003267D3" w:rsidRDefault="003267D3" w:rsidP="003267D3">
      <w:pPr>
        <w:jc w:val="right"/>
        <w:rPr>
          <w:sz w:val="28"/>
          <w:szCs w:val="28"/>
        </w:rPr>
      </w:pPr>
    </w:p>
    <w:p w:rsidR="0001519E" w:rsidRDefault="0001519E" w:rsidP="003267D3">
      <w:pPr>
        <w:spacing w:after="240"/>
        <w:ind w:left="5670" w:right="34" w:hanging="272"/>
      </w:pPr>
    </w:p>
    <w:sectPr w:rsidR="0001519E" w:rsidSect="001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52" w:rsidRDefault="00EC4C52" w:rsidP="00F626C2">
      <w:r>
        <w:separator/>
      </w:r>
    </w:p>
  </w:endnote>
  <w:endnote w:type="continuationSeparator" w:id="0">
    <w:p w:rsidR="00EC4C52" w:rsidRDefault="00EC4C52" w:rsidP="00F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52" w:rsidRDefault="00EC4C52" w:rsidP="00F626C2">
      <w:r>
        <w:separator/>
      </w:r>
    </w:p>
  </w:footnote>
  <w:footnote w:type="continuationSeparator" w:id="0">
    <w:p w:rsidR="00EC4C52" w:rsidRDefault="00EC4C52" w:rsidP="00F62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94EEC"/>
    <w:multiLevelType w:val="hybridMultilevel"/>
    <w:tmpl w:val="C7327960"/>
    <w:lvl w:ilvl="0" w:tplc="3DC86C28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990926"/>
    <w:multiLevelType w:val="multilevel"/>
    <w:tmpl w:val="ED662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CD2"/>
    <w:rsid w:val="0001519E"/>
    <w:rsid w:val="00022A99"/>
    <w:rsid w:val="000A7C89"/>
    <w:rsid w:val="001203C2"/>
    <w:rsid w:val="001F3728"/>
    <w:rsid w:val="00287716"/>
    <w:rsid w:val="003267D3"/>
    <w:rsid w:val="004B6EFE"/>
    <w:rsid w:val="004F0FF9"/>
    <w:rsid w:val="00502CD2"/>
    <w:rsid w:val="00680234"/>
    <w:rsid w:val="00763F39"/>
    <w:rsid w:val="007A6343"/>
    <w:rsid w:val="009A707B"/>
    <w:rsid w:val="00A97D8B"/>
    <w:rsid w:val="00B01DEB"/>
    <w:rsid w:val="00B36316"/>
    <w:rsid w:val="00BB1B07"/>
    <w:rsid w:val="00C42C0B"/>
    <w:rsid w:val="00CA2873"/>
    <w:rsid w:val="00CB74EB"/>
    <w:rsid w:val="00CF3A9E"/>
    <w:rsid w:val="00D16A27"/>
    <w:rsid w:val="00EC4C52"/>
    <w:rsid w:val="00EC68ED"/>
    <w:rsid w:val="00F626C2"/>
    <w:rsid w:val="00F9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9E"/>
    <w:pPr>
      <w:keepNext/>
      <w:autoSpaceDE w:val="0"/>
      <w:autoSpaceDN w:val="0"/>
      <w:adjustRightInd w:val="0"/>
      <w:jc w:val="righ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19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0151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rsid w:val="0001519E"/>
    <w:pPr>
      <w:spacing w:before="100" w:after="100"/>
    </w:pPr>
    <w:rPr>
      <w:szCs w:val="20"/>
    </w:rPr>
  </w:style>
  <w:style w:type="paragraph" w:customStyle="1" w:styleId="ConsPlusNormal">
    <w:name w:val="ConsPlusNormal"/>
    <w:rsid w:val="00015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26C2"/>
    <w:pPr>
      <w:ind w:left="720"/>
      <w:contextualSpacing/>
    </w:pPr>
  </w:style>
  <w:style w:type="paragraph" w:styleId="a6">
    <w:name w:val="Body Text"/>
    <w:basedOn w:val="a"/>
    <w:link w:val="a7"/>
    <w:unhideWhenUsed/>
    <w:rsid w:val="00F626C2"/>
    <w:pPr>
      <w:spacing w:after="120"/>
    </w:pPr>
  </w:style>
  <w:style w:type="character" w:customStyle="1" w:styleId="a7">
    <w:name w:val="Основной текст Знак"/>
    <w:basedOn w:val="a0"/>
    <w:link w:val="a6"/>
    <w:rsid w:val="00F6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26C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62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названия столбцов"/>
    <w:basedOn w:val="a"/>
    <w:rsid w:val="00F626C2"/>
    <w:pPr>
      <w:jc w:val="center"/>
    </w:pPr>
    <w:rPr>
      <w:b/>
      <w:sz w:val="20"/>
      <w:szCs w:val="20"/>
    </w:rPr>
  </w:style>
  <w:style w:type="paragraph" w:styleId="a9">
    <w:name w:val="footnote text"/>
    <w:basedOn w:val="a"/>
    <w:link w:val="aa"/>
    <w:rsid w:val="00F626C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rsid w:val="00F626C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F626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nicipal.ako.kirov.ru/podosinovs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2020-04-26T17:18:00Z</cp:lastPrinted>
  <dcterms:created xsi:type="dcterms:W3CDTF">2018-12-09T14:26:00Z</dcterms:created>
  <dcterms:modified xsi:type="dcterms:W3CDTF">2020-04-26T17:19:00Z</dcterms:modified>
</cp:coreProperties>
</file>