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798" w:type="pct"/>
        <w:tblInd w:w="-1217" w:type="dxa"/>
        <w:tblLayout w:type="fixed"/>
        <w:tblLook w:val="04A0"/>
      </w:tblPr>
      <w:tblGrid>
        <w:gridCol w:w="757"/>
        <w:gridCol w:w="3263"/>
        <w:gridCol w:w="1274"/>
        <w:gridCol w:w="2835"/>
        <w:gridCol w:w="2970"/>
      </w:tblGrid>
      <w:tr w:rsidR="001141C3" w:rsidTr="001141C3">
        <w:tc>
          <w:tcPr>
            <w:tcW w:w="5000" w:type="pct"/>
            <w:gridSpan w:val="5"/>
          </w:tcPr>
          <w:p w:rsidR="001141C3" w:rsidRDefault="001141C3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1141C3"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97146">
              <w:rPr>
                <w:rFonts w:ascii="Times New Roman" w:hAnsi="Times New Roman" w:cs="Times New Roman"/>
              </w:rPr>
              <w:t>юджета района на 2024</w:t>
            </w:r>
            <w:r w:rsidR="001141C3">
              <w:rPr>
                <w:rFonts w:ascii="Times New Roman" w:hAnsi="Times New Roman" w:cs="Times New Roman"/>
              </w:rPr>
              <w:t xml:space="preserve"> год и на плановый период</w:t>
            </w:r>
          </w:p>
          <w:p w:rsidR="001141C3" w:rsidRDefault="00497146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и 2026</w:t>
            </w:r>
            <w:r w:rsidR="001141C3"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расчета бюджетных ассигнований бюджета района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934018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70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Направления расходов бюджета района</w:t>
            </w:r>
          </w:p>
        </w:tc>
        <w:tc>
          <w:tcPr>
            <w:tcW w:w="574" w:type="pct"/>
          </w:tcPr>
          <w:p w:rsidR="00113555" w:rsidRPr="00113555" w:rsidRDefault="00113555" w:rsidP="00345B8F">
            <w:pPr>
              <w:ind w:right="-393"/>
              <w:jc w:val="center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277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338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RPr="00DA0C35" w:rsidTr="00934018">
        <w:trPr>
          <w:trHeight w:val="1839"/>
        </w:trPr>
        <w:tc>
          <w:tcPr>
            <w:tcW w:w="341" w:type="pct"/>
          </w:tcPr>
          <w:p w:rsidR="00113555" w:rsidRDefault="00F562DD">
            <w:r w:rsidRPr="00A738E2">
              <w:t>1</w:t>
            </w:r>
          </w:p>
        </w:tc>
        <w:tc>
          <w:tcPr>
            <w:tcW w:w="1470" w:type="pct"/>
          </w:tcPr>
          <w:p w:rsidR="00113555" w:rsidRPr="002C6EDF" w:rsidRDefault="00F562DD" w:rsidP="00AD3A7A">
            <w:pPr>
              <w:ind w:left="24" w:hanging="24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>Оплата труда работников муниципальных учреждений района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4B7C3E" w:rsidRPr="00497146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574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277" w:type="pct"/>
          </w:tcPr>
          <w:p w:rsidR="00113555" w:rsidRPr="001E4E3B" w:rsidRDefault="00113555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497146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</w:t>
            </w:r>
            <w:r w:rsidR="001E4E3B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</w:t>
            </w:r>
            <w:r w:rsidR="00497146" w:rsidRPr="00497146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3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692414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338" w:type="pct"/>
          </w:tcPr>
          <w:p w:rsidR="007E488F" w:rsidRDefault="007E488F" w:rsidP="007E488F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7E488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 w:rsidR="00497146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3</w:t>
            </w:r>
            <w:r w:rsidR="00113555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 ассигнований на</w:t>
            </w:r>
            <w:r w:rsidR="00692414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оплату труда</w:t>
            </w:r>
            <w:r w:rsidR="00374A09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работников</w:t>
            </w:r>
            <w:r w:rsidR="00BA293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муниципальных</w:t>
            </w:r>
            <w:r w:rsidR="00692414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  <w:p w:rsidR="00113555" w:rsidRPr="007E488F" w:rsidRDefault="00692414" w:rsidP="00692414">
            <w:pPr>
              <w:pStyle w:val="a4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>
              <w:rPr>
                <w:rStyle w:val="FontStyle42"/>
              </w:rPr>
              <w:t xml:space="preserve"> </w:t>
            </w:r>
            <w:r w:rsidRPr="00692414">
              <w:rPr>
                <w:rStyle w:val="FontStyle42"/>
                <w:b w:val="0"/>
                <w:i w:val="0"/>
              </w:rPr>
              <w:t>учреждений</w:t>
            </w:r>
            <w:r w:rsidR="00F562DD" w:rsidRPr="007E488F">
              <w:rPr>
                <w:rStyle w:val="FontStyle28"/>
                <w:sz w:val="14"/>
                <w:szCs w:val="14"/>
              </w:rPr>
              <w:t xml:space="preserve"> района </w:t>
            </w:r>
            <w:r w:rsidR="001E4E3B" w:rsidRPr="007E488F">
              <w:rPr>
                <w:rStyle w:val="FontStyle28"/>
                <w:sz w:val="14"/>
                <w:szCs w:val="14"/>
              </w:rPr>
              <w:t xml:space="preserve"> на 01.01</w:t>
            </w:r>
            <w:r w:rsidR="00AF2DF3" w:rsidRPr="007E488F">
              <w:rPr>
                <w:rStyle w:val="FontStyle28"/>
                <w:sz w:val="14"/>
                <w:szCs w:val="14"/>
              </w:rPr>
              <w:t>.202</w:t>
            </w:r>
            <w:r w:rsidR="00497146">
              <w:rPr>
                <w:rStyle w:val="FontStyle28"/>
                <w:sz w:val="14"/>
                <w:szCs w:val="14"/>
              </w:rPr>
              <w:t>3</w:t>
            </w:r>
            <w:r w:rsidR="00113555" w:rsidRPr="007E488F">
              <w:rPr>
                <w:rStyle w:val="FontStyle28"/>
                <w:sz w:val="14"/>
                <w:szCs w:val="14"/>
              </w:rPr>
              <w:t>;</w:t>
            </w:r>
          </w:p>
          <w:p w:rsidR="00C6757D" w:rsidRPr="007E488F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="00F562DD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692414">
              <w:rPr>
                <w:rStyle w:val="FontStyle39"/>
                <w:sz w:val="14"/>
                <w:szCs w:val="14"/>
              </w:rPr>
              <w:t>(</w:t>
            </w:r>
            <w:proofErr w:type="spellStart"/>
            <w:r w:rsidRPr="00692414">
              <w:rPr>
                <w:rStyle w:val="FontStyle39"/>
                <w:sz w:val="14"/>
                <w:szCs w:val="14"/>
                <w:lang w:val="en-US"/>
              </w:rPr>
              <w:t>i</w:t>
            </w:r>
            <w:proofErr w:type="spellEnd"/>
            <w:r w:rsidRPr="007E488F">
              <w:rPr>
                <w:rStyle w:val="FontStyle39"/>
                <w:i w:val="0"/>
                <w:sz w:val="14"/>
                <w:szCs w:val="14"/>
              </w:rPr>
              <w:t>)-</w:t>
            </w:r>
            <w:r w:rsidR="006E6231">
              <w:rPr>
                <w:rStyle w:val="FontStyle28"/>
                <w:sz w:val="14"/>
                <w:szCs w:val="14"/>
              </w:rPr>
              <w:t>объем бюджетных ассигнований на повышение оплаты труда работников муниципальных учреждений района</w:t>
            </w:r>
            <w:r w:rsidR="00692414">
              <w:rPr>
                <w:rStyle w:val="FontStyle28"/>
                <w:sz w:val="14"/>
                <w:szCs w:val="14"/>
              </w:rPr>
              <w:t>, а также отдельным категориям работников учреждений бюджетной сферы в соответствии с указами Президента РФ определяется главными распорядителями средств бюджета района (далее</w:t>
            </w:r>
            <w:r w:rsidR="006E6231">
              <w:rPr>
                <w:rStyle w:val="FontStyle28"/>
                <w:sz w:val="14"/>
                <w:szCs w:val="14"/>
              </w:rPr>
              <w:t xml:space="preserve"> </w:t>
            </w:r>
            <w:r w:rsidR="00692414">
              <w:rPr>
                <w:rStyle w:val="FontStyle28"/>
                <w:sz w:val="14"/>
                <w:szCs w:val="14"/>
              </w:rPr>
              <w:t>- ГРБС)</w:t>
            </w:r>
            <w:r w:rsidRPr="007E488F">
              <w:rPr>
                <w:rStyle w:val="FontStyle28"/>
                <w:sz w:val="14"/>
                <w:szCs w:val="14"/>
              </w:rPr>
              <w:t>.</w:t>
            </w:r>
          </w:p>
          <w:p w:rsidR="00113555" w:rsidRPr="007E488F" w:rsidRDefault="00113555">
            <w:pPr>
              <w:rPr>
                <w:rFonts w:ascii="Times New Roman" w:hAnsi="Times New Roman" w:cs="Times New Roman"/>
              </w:rPr>
            </w:pPr>
          </w:p>
        </w:tc>
      </w:tr>
      <w:tr w:rsidR="00113555" w:rsidTr="00934018">
        <w:trPr>
          <w:trHeight w:val="4402"/>
        </w:trPr>
        <w:tc>
          <w:tcPr>
            <w:tcW w:w="34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470" w:type="pct"/>
          </w:tcPr>
          <w:p w:rsidR="00113555" w:rsidRPr="002C6EDF" w:rsidRDefault="002C6EDF" w:rsidP="00934018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proofErr w:type="gramStart"/>
            <w:r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страховых взносов в 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>Фонд пенсионного</w:t>
            </w:r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>социального страхования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на обяз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 xml:space="preserve">ательное пенсионное страхование и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на обязательное социальное страхование на случай временной нетрудоспособности и в связи с материнством</w:t>
            </w:r>
            <w:r w:rsidR="009B18D8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      </w:r>
            <w:proofErr w:type="gramEnd"/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страховые взносы</w:t>
            </w:r>
            <w:r w:rsidR="00AD3A7A" w:rsidRPr="002C6EDF">
              <w:rPr>
                <w:rFonts w:ascii="Bookman Old Style" w:hAnsi="Bookman Old Style" w:cs="Times New Roman"/>
                <w:sz w:val="20"/>
                <w:szCs w:val="20"/>
              </w:rPr>
              <w:t>)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574" w:type="pct"/>
          </w:tcPr>
          <w:p w:rsidR="00113555" w:rsidRPr="001728D8" w:rsidRDefault="00AD3A7A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277" w:type="pct"/>
          </w:tcPr>
          <w:p w:rsidR="00EA3EA4" w:rsidRPr="00934018" w:rsidRDefault="00D77273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  <w:lang w:val="en-US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="00934018" w:rsidRPr="00934018">
              <w:rPr>
                <w:rStyle w:val="FontStyle42"/>
                <w:b w:val="0"/>
                <w:i w:val="0"/>
                <w:sz w:val="18"/>
                <w:szCs w:val="18"/>
                <w:u w:val="single"/>
                <w:vertAlign w:val="subscript"/>
              </w:rPr>
              <w:t>ЗП</w:t>
            </w:r>
            <w:r w:rsidR="00934018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 xml:space="preserve"> </w:t>
            </w:r>
            <w:r w:rsidR="00BE1E01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="00BE1E01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 xml:space="preserve">) </w:t>
            </w:r>
            <w:proofErr w:type="spellStart"/>
            <w:r w:rsidR="00934018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</w:t>
            </w:r>
            <w:proofErr w:type="spellEnd"/>
            <w:proofErr w:type="gramStart"/>
            <w:r w:rsidR="00BE1E01" w:rsidRPr="00934018">
              <w:rPr>
                <w:rStyle w:val="FontStyle42"/>
                <w:b w:val="0"/>
                <w:i w:val="0"/>
                <w:sz w:val="18"/>
                <w:szCs w:val="18"/>
                <w:u w:val="single"/>
                <w:lang w:val="en-US"/>
              </w:rPr>
              <w:t xml:space="preserve">  </w:t>
            </w:r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Т</w:t>
            </w:r>
            <w:proofErr w:type="gramEnd"/>
          </w:p>
          <w:p w:rsidR="00BE1E01" w:rsidRPr="00934018" w:rsidRDefault="00BE1E01">
            <w:pPr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</w:pPr>
            <w:r w:rsidRPr="00934018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                     100</w:t>
            </w:r>
          </w:p>
          <w:p w:rsidR="00113555" w:rsidRPr="00934018" w:rsidRDefault="00113555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38" w:type="pct"/>
          </w:tcPr>
          <w:p w:rsidR="00113555" w:rsidRPr="007E488F" w:rsidRDefault="00D77273" w:rsidP="00BE1E01">
            <w:pPr>
              <w:pStyle w:val="a4"/>
              <w:ind w:left="-109" w:hanging="425"/>
              <w:jc w:val="both"/>
              <w:rPr>
                <w:rFonts w:ascii="Times New Roman" w:hAnsi="Times New Roman" w:cs="Times New Roman"/>
              </w:rPr>
            </w:pPr>
            <w:r w:rsidRPr="007E488F">
              <w:rPr>
                <w:rStyle w:val="FontStyle42"/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gramStart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Т-</w:t>
            </w:r>
            <w:proofErr w:type="gramEnd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  <w:r w:rsidR="00934018" w:rsidRPr="00934018">
              <w:rPr>
                <w:rStyle w:val="FontStyle42"/>
                <w:b w:val="0"/>
                <w:i w:val="0"/>
                <w:sz w:val="18"/>
                <w:szCs w:val="18"/>
              </w:rPr>
              <w:t>Т</w:t>
            </w:r>
            <w:r w:rsidR="00934018">
              <w:rPr>
                <w:rStyle w:val="FontStyle42"/>
                <w:b w:val="0"/>
                <w:i w:val="0"/>
                <w:sz w:val="18"/>
                <w:szCs w:val="18"/>
              </w:rPr>
              <w:t>-</w:t>
            </w:r>
            <w:r w:rsidR="00934018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тарифы страховых взносов (страховые тарифы)</w:t>
            </w:r>
            <w:r w:rsidR="00345B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,  установленные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соответствующими федеральными законами. </w:t>
            </w:r>
          </w:p>
        </w:tc>
      </w:tr>
      <w:tr w:rsidR="00113555" w:rsidTr="00934018">
        <w:trPr>
          <w:trHeight w:val="1460"/>
        </w:trPr>
        <w:tc>
          <w:tcPr>
            <w:tcW w:w="34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pct"/>
          </w:tcPr>
          <w:p w:rsidR="00934018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</w:t>
            </w:r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ажданско-правового характера </w:t>
            </w:r>
            <w:proofErr w:type="gramStart"/>
            <w:r w:rsidR="0093401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выполнению работ, оказанию услуг лицам, не состоящим в штате учреждения (далее – договоры ГПХ)</w:t>
            </w:r>
            <w:r w:rsidR="0026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113555" w:rsidRPr="00F8399C" w:rsidRDefault="00656772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99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277" w:type="pct"/>
          </w:tcPr>
          <w:p w:rsidR="00113555" w:rsidRPr="00D76C70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="00AE6EDC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38" w:type="pct"/>
          </w:tcPr>
          <w:p w:rsidR="00113555" w:rsidRDefault="00656772" w:rsidP="00403643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</w:t>
            </w:r>
            <w:r w:rsidR="00AE6EDC">
              <w:rPr>
                <w:rStyle w:val="FontStyle42"/>
                <w:b w:val="0"/>
                <w:i w:val="0"/>
                <w:sz w:val="18"/>
                <w:szCs w:val="18"/>
              </w:rPr>
              <w:t>Г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="00AE6EDC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3</w:t>
            </w:r>
            <w:r w:rsidR="00D76C70">
              <w:rPr>
                <w:rStyle w:val="FontStyle42"/>
                <w:b w:val="0"/>
                <w:i w:val="0"/>
              </w:rPr>
              <w:t xml:space="preserve">- </w:t>
            </w:r>
            <w:r w:rsidR="00403643">
              <w:rPr>
                <w:rStyle w:val="FontStyle42"/>
                <w:b w:val="0"/>
                <w:i w:val="0"/>
              </w:rPr>
              <w:t xml:space="preserve">объем 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бюджетны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х ассигнований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оплату до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</w:t>
            </w:r>
            <w:r w:rsidR="00AE6ED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оворов ГПХ по состоянию на 01.01.2023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113555" w:rsidTr="00934018">
        <w:tc>
          <w:tcPr>
            <w:tcW w:w="34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0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  <w:r w:rsidR="00AE6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D76C70" w:rsidRPr="00AE6EDC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574" w:type="pct"/>
          </w:tcPr>
          <w:p w:rsidR="00113555" w:rsidRPr="001E3865" w:rsidRDefault="001E3865" w:rsidP="00403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pct"/>
          </w:tcPr>
          <w:p w:rsidR="00113555" w:rsidRPr="00AE6EDC" w:rsidRDefault="003A3E58" w:rsidP="00403643">
            <w:pPr>
              <w:rPr>
                <w:rFonts w:ascii="Bookman Old Style" w:hAnsi="Bookman Old Style" w:cs="Times New Roman"/>
                <w:iCs/>
                <w:spacing w:val="2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AE6EDC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="00AE6EDC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AE6ED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D2183">
              <w:rPr>
                <w:rFonts w:ascii="Bookman Old Style" w:hAnsi="Bookman Old Style" w:cs="Times New Roman"/>
                <w:b/>
                <w:sz w:val="18"/>
                <w:szCs w:val="18"/>
              </w:rPr>
              <w:t>∏</w:t>
            </w:r>
            <w:r w:rsidR="00AE6EDC" w:rsidRPr="00AE6EDC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i</w:t>
            </w:r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proofErr w:type="spellStart"/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 w:rsidRPr="00AE6EDC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403643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9D2183">
              <w:rPr>
                <w:rFonts w:ascii="Bookman Old Style" w:hAnsi="Bookman Old Style" w:cs="Times New Roman"/>
                <w:sz w:val="18"/>
                <w:szCs w:val="18"/>
              </w:rPr>
              <w:t>}</w:t>
            </w:r>
            <w:proofErr w:type="gramEnd"/>
          </w:p>
        </w:tc>
        <w:tc>
          <w:tcPr>
            <w:tcW w:w="1338" w:type="pct"/>
          </w:tcPr>
          <w:p w:rsidR="003A3E58" w:rsidRPr="009E1032" w:rsidRDefault="003A3E58" w:rsidP="003A3E58">
            <w:pPr>
              <w:pStyle w:val="a4"/>
              <w:ind w:hanging="567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="009E103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</w:t>
            </w:r>
            <w:r w:rsidR="00AE6EDC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AE6EDC" w:rsidRPr="00AE6ED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="00AE6EDC">
              <w:rPr>
                <w:rStyle w:val="FontStyle42"/>
                <w:b w:val="0"/>
                <w:i w:val="0"/>
              </w:rPr>
              <w:t xml:space="preserve">- </w:t>
            </w:r>
            <w:r w:rsidR="00AE6EDC" w:rsidRPr="009E103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оплату </w:t>
            </w:r>
            <w:r w:rsidRPr="009E103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9E103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9E103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9E1032" w:rsidRPr="009E103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коммунальных услуг, твердого и печного топлива по состоянию на 01.01.2023</w:t>
            </w:r>
            <w:r w:rsidRPr="009E1032">
              <w:rPr>
                <w:rStyle w:val="FontStyle28"/>
                <w:sz w:val="14"/>
                <w:szCs w:val="14"/>
              </w:rPr>
              <w:t>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proofErr w:type="spellEnd"/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E1032" w:rsidRPr="009935D9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9E1032" w:rsidRPr="00AE6EDC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9E1032">
              <w:rPr>
                <w:rFonts w:ascii="Bookman Old Style" w:hAnsi="Bookman Old Style" w:cs="Times New Roman"/>
                <w:sz w:val="18"/>
                <w:szCs w:val="18"/>
              </w:rPr>
              <w:t>)}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9E1032">
              <w:rPr>
                <w:rFonts w:ascii="Times New Roman" w:hAnsi="Times New Roman" w:cs="Times New Roman"/>
                <w:sz w:val="14"/>
                <w:szCs w:val="14"/>
              </w:rPr>
              <w:t>-го вида в</w:t>
            </w:r>
            <w:r w:rsidR="009E1032" w:rsidRPr="009E10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E103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="009E10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E1032" w:rsidRPr="009E1032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="009E1032" w:rsidRPr="009E103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  <w:proofErr w:type="spellEnd"/>
            <w:r w:rsidR="009E1032" w:rsidRPr="009E1032"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финансовом 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AC508B" w:rsidRPr="009935D9" w:rsidRDefault="00AC508B" w:rsidP="00247600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proofErr w:type="gramStart"/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proofErr w:type="gramEnd"/>
            <w:r w:rsidR="00247600" w:rsidRPr="0024760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247600" w:rsidRPr="00247600">
              <w:rPr>
                <w:rFonts w:ascii="Times New Roman" w:hAnsi="Times New Roman" w:cs="Times New Roman"/>
                <w:i/>
                <w:sz w:val="14"/>
                <w:szCs w:val="14"/>
                <w:vertAlign w:val="superscript"/>
              </w:rPr>
              <w:t>i</w:t>
            </w:r>
            <w:proofErr w:type="spellEnd"/>
            <w:r w:rsidR="00247600"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 xml:space="preserve"> </w:t>
            </w:r>
            <w:r w:rsidRPr="00247600">
              <w:rPr>
                <w:rFonts w:ascii="Bookman Old Style" w:hAnsi="Bookman Old Style" w:cs="Times New Roman"/>
                <w:i/>
                <w:sz w:val="14"/>
                <w:szCs w:val="14"/>
                <w:vertAlign w:val="subscript"/>
                <w:lang w:val="en-US"/>
              </w:rPr>
              <w:t>I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="00F54C91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F54C91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247600">
              <w:rPr>
                <w:rFonts w:ascii="Bookman Old Style" w:hAnsi="Bookman Old Style" w:cs="Times New Roman"/>
                <w:i/>
                <w:sz w:val="14"/>
                <w:szCs w:val="14"/>
              </w:rPr>
              <w:t xml:space="preserve"> 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proofErr w:type="spellStart"/>
            <w:r w:rsidRPr="00247600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35D9" w:rsidRPr="00F54C91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i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6F7D1E" w:rsidTr="00934018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70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органов местного самоуправления района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pct"/>
          </w:tcPr>
          <w:p w:rsidR="001728D8" w:rsidRDefault="004F2144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proofErr w:type="gram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="005F06C7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5F06C7" w:rsidRPr="005F06C7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proofErr w:type="spellStart"/>
            <w:r w:rsidRPr="005F06C7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5F06C7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spellStart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247600">
              <w:rPr>
                <w:rFonts w:ascii="Bookman Old Style" w:hAnsi="Bookman Old Style" w:cs="Times New Roman"/>
                <w:i/>
                <w:sz w:val="20"/>
                <w:szCs w:val="18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F06C7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Pr="005F06C7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5F06C7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+М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Pr="00E2524C" w:rsidRDefault="008E4D8A" w:rsidP="008E4D8A">
            <w:pPr>
              <w:rPr>
                <w:rStyle w:val="FontStyle39"/>
                <w:i w:val="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Объем бюджетных ассигнований для финансового обеспечения  выполнения функций Избирательной комиссии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gramEnd"/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ИЗБ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E2524C" w:rsidRPr="00484ED3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E2524C" w:rsidRPr="00484E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,рассчитанный по указанной формуле,</w:t>
            </w:r>
            <w:r w:rsidR="005F06C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подлежит уменьшению на объем бюджетных ассигнований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,передаваемых Избирательной комиссией Кировской области на выполнение государственных полномочий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Российской Федерации и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8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lastRenderedPageBreak/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района,</w:t>
            </w:r>
            <w:r w:rsidR="00EF15AB">
              <w:rPr>
                <w:rFonts w:ascii="Times New Roman" w:hAnsi="Times New Roman" w:cs="Times New Roman"/>
                <w:sz w:val="14"/>
                <w:szCs w:val="14"/>
              </w:rPr>
              <w:t xml:space="preserve"> определенный на рабочем совещании по составлению проекта  областного бюджета на 2023 год и на плановый период 2024 и 2025 годов под руководством Губернатора Кировской области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района и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повышение 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>на оплату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spellStart"/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proofErr w:type="gramEnd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-го органа местного самоуправления района;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  <w:r w:rsidR="003B536D"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коммунальных услуг</w:t>
            </w:r>
            <w:r w:rsidR="003B536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оответствии с подпунктом 4 настоящего Порядка расчета бюджетных ассигнований бюджета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 xml:space="preserve"> района (далее </w:t>
            </w:r>
            <w:proofErr w:type="gramStart"/>
            <w:r w:rsidR="00536839">
              <w:rPr>
                <w:rFonts w:ascii="Times New Roman" w:hAnsi="Times New Roman" w:cs="Times New Roman"/>
                <w:sz w:val="14"/>
                <w:szCs w:val="14"/>
              </w:rPr>
              <w:t>–П</w:t>
            </w:r>
            <w:proofErr w:type="gramEnd"/>
            <w:r w:rsidR="00536839">
              <w:rPr>
                <w:rFonts w:ascii="Times New Roman" w:hAnsi="Times New Roman" w:cs="Times New Roman"/>
                <w:sz w:val="14"/>
                <w:szCs w:val="14"/>
              </w:rPr>
              <w:t>орядок)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proofErr w:type="gram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>объем бюджетных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служащих  органов местного самоуправления района.</w:t>
            </w:r>
          </w:p>
          <w:p w:rsidR="003D5C3E" w:rsidRPr="006F7D1E" w:rsidRDefault="006F7D1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М</w:t>
            </w:r>
            <w:proofErr w:type="gramStart"/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j</w:t>
            </w:r>
            <w:proofErr w:type="gramEnd"/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Pr="006F7D1E">
              <w:rPr>
                <w:rFonts w:ascii="Times New Roman" w:hAnsi="Times New Roman" w:cs="Times New Roman"/>
                <w:sz w:val="14"/>
                <w:szCs w:val="14"/>
              </w:rPr>
              <w:t>- объем бюджетных ассигнований на мероприятия в соответствии с Федеральным законом от 26.02.1997</w:t>
            </w:r>
            <w:r w:rsidR="00536839">
              <w:rPr>
                <w:rFonts w:ascii="Times New Roman" w:hAnsi="Times New Roman" w:cs="Times New Roman"/>
                <w:sz w:val="14"/>
                <w:szCs w:val="14"/>
              </w:rPr>
              <w:t xml:space="preserve"> № 31-ФЗ «О мобилизационной подготовке и мобилизации в Российской Федерации» определяется ГРБС,</w:t>
            </w:r>
          </w:p>
        </w:tc>
      </w:tr>
      <w:tr w:rsidR="00D67A33" w:rsidRPr="003639FA" w:rsidTr="00934018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70" w:type="pct"/>
          </w:tcPr>
          <w:p w:rsidR="00D67A33" w:rsidRPr="00C135E8" w:rsidRDefault="00D67A33" w:rsidP="00B51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9B3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574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290,340</w:t>
            </w:r>
          </w:p>
        </w:tc>
        <w:tc>
          <w:tcPr>
            <w:tcW w:w="1277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)=∑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gram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Ч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12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338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CD6610">
              <w:rPr>
                <w:rFonts w:ascii="Bookman Old Style" w:hAnsi="Bookman Old Style" w:cs="Times New Roman"/>
                <w:i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="0098585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Подосиновской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Думы, нормативным правовым актом Администрации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j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CD6610">
              <w:rPr>
                <w:rFonts w:ascii="Bookman Old Style" w:hAnsi="Bookman Old Style" w:cs="Times New Roman"/>
                <w:i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934018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0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372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="00C135E8" w:rsidRPr="0037275B">
              <w:rPr>
                <w:rStyle w:val="FontStyle39"/>
                <w:sz w:val="18"/>
                <w:szCs w:val="18"/>
                <w:lang w:val="en-US"/>
              </w:rPr>
              <w:t>i</w:t>
            </w:r>
            <w:proofErr w:type="spellEnd"/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37275B">
              <w:rPr>
                <w:rStyle w:val="FontStyle39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рассчитывается, исходя из прогнозируемых на соответствующий финансовый год объемов поступлений бюджета района,</w:t>
            </w:r>
            <w:r w:rsidR="003727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3727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 xml:space="preserve">п. </w:t>
            </w:r>
            <w:r w:rsidR="00361CE9" w:rsidRPr="00E65F51">
              <w:rPr>
                <w:rStyle w:val="FontStyle28"/>
                <w:color w:val="000000" w:themeColor="text1"/>
                <w:sz w:val="18"/>
                <w:szCs w:val="18"/>
              </w:rPr>
              <w:t>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Подосиновской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районной Думы от 26.02.2014   № 42/264 «О бюджетном процессе в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Подосиновском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районе»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338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934018">
        <w:tc>
          <w:tcPr>
            <w:tcW w:w="341" w:type="pct"/>
          </w:tcPr>
          <w:p w:rsidR="00A1144D" w:rsidRPr="001728D8" w:rsidRDefault="00A1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0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</w:t>
            </w: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37275B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277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37275B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F91BF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используются фактические процентные ставки по действующим долговым обязательствам и ключевая ставка Центрального банка Росси</w:t>
            </w:r>
            <w:r w:rsidR="00F91BFC">
              <w:rPr>
                <w:rFonts w:ascii="Times New Roman" w:hAnsi="Times New Roman" w:cs="Times New Roman"/>
                <w:sz w:val="18"/>
                <w:szCs w:val="18"/>
              </w:rPr>
              <w:t xml:space="preserve">йской </w:t>
            </w:r>
            <w:proofErr w:type="spellStart"/>
            <w:r w:rsidR="00F91BFC">
              <w:rPr>
                <w:rFonts w:ascii="Times New Roman" w:hAnsi="Times New Roman" w:cs="Times New Roman"/>
                <w:sz w:val="18"/>
                <w:szCs w:val="18"/>
              </w:rPr>
              <w:t>Федерации</w:t>
            </w:r>
            <w:proofErr w:type="gram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величенная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на 1%,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r w:rsidR="00F91BFC"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планируемым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к привлечению</w:t>
            </w:r>
            <w:r w:rsidR="00F91BFC">
              <w:rPr>
                <w:rFonts w:ascii="Times New Roman" w:hAnsi="Times New Roman" w:cs="Times New Roman"/>
                <w:sz w:val="18"/>
                <w:szCs w:val="18"/>
              </w:rPr>
              <w:t xml:space="preserve"> кредитам кредитных организаций, а также установленные на федеральном уровне процентные ставки по планируемым к привлечению бюджетным кредитам.</w:t>
            </w:r>
          </w:p>
        </w:tc>
        <w:tc>
          <w:tcPr>
            <w:tcW w:w="1338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934018">
        <w:tc>
          <w:tcPr>
            <w:tcW w:w="341" w:type="pct"/>
          </w:tcPr>
          <w:p w:rsidR="00581AB6" w:rsidRPr="001728D8" w:rsidRDefault="0058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70" w:type="pct"/>
          </w:tcPr>
          <w:p w:rsidR="00581AB6" w:rsidRPr="00C135E8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Подосиновскому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района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="00C135E8"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F91BFC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574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F91BFC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338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7853F8" w:rsidRPr="003639FA" w:rsidTr="00934018">
        <w:tc>
          <w:tcPr>
            <w:tcW w:w="341" w:type="pct"/>
          </w:tcPr>
          <w:p w:rsidR="007853F8" w:rsidRPr="001728D8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0" w:type="pct"/>
          </w:tcPr>
          <w:p w:rsidR="007853F8" w:rsidRPr="00CC4574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</w:t>
            </w:r>
            <w:r w:rsidR="00C730F1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r w:rsidR="00C730F1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C730F1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730F1" w:rsidRPr="00C730F1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730F1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730F1">
              <w:rPr>
                <w:rFonts w:ascii="Bookman Old Style" w:hAnsi="Bookman Old Style" w:cs="Times New Roman"/>
                <w:sz w:val="18"/>
                <w:szCs w:val="18"/>
              </w:rPr>
              <w:t>на возмещение выпадающих доходов в связи с регулированием тарифов:)</w:t>
            </w:r>
            <w:proofErr w:type="gramEnd"/>
          </w:p>
          <w:p w:rsidR="007853F8" w:rsidRDefault="007853F8" w:rsidP="00C730F1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</w:t>
            </w:r>
            <w:r w:rsidR="00C730F1">
              <w:rPr>
                <w:rFonts w:ascii="Times New Roman" w:hAnsi="Times New Roman" w:cs="Times New Roman"/>
                <w:sz w:val="20"/>
                <w:szCs w:val="20"/>
              </w:rPr>
              <w:t xml:space="preserve"> и багажа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автомобильным транспортом общего пользования в пригородном сообщении</w:t>
            </w:r>
          </w:p>
        </w:tc>
        <w:tc>
          <w:tcPr>
            <w:tcW w:w="574" w:type="pct"/>
          </w:tcPr>
          <w:p w:rsidR="007853F8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7" w:type="pct"/>
          </w:tcPr>
          <w:p w:rsidR="007853F8" w:rsidRPr="00705F51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C730F1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23</w:t>
            </w:r>
          </w:p>
        </w:tc>
        <w:tc>
          <w:tcPr>
            <w:tcW w:w="1338" w:type="pct"/>
          </w:tcPr>
          <w:p w:rsidR="00C730F1" w:rsidRDefault="00C135E8" w:rsidP="002044C6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7853F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</w:t>
            </w:r>
            <w:proofErr w:type="gramStart"/>
            <w:r w:rsidR="007853F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Л</w:t>
            </w:r>
            <w:r w:rsidR="007853F8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gramEnd"/>
            <w:r w:rsidR="007853F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предоставление субсидий 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 состоянию на 01.01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.202</w:t>
            </w:r>
            <w:r w:rsidR="00C730F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3: </w:t>
            </w:r>
          </w:p>
          <w:p w:rsidR="007853F8" w:rsidRPr="00705F51" w:rsidRDefault="00C730F1" w:rsidP="002044C6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организациям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7853F8" w:rsidRPr="007853F8">
              <w:rPr>
                <w:rFonts w:ascii="Times New Roman" w:hAnsi="Times New Roman" w:cs="Times New Roman"/>
                <w:sz w:val="14"/>
                <w:szCs w:val="14"/>
              </w:rPr>
              <w:t>транспорта, осуществляющим перевозку пассажиров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багажа </w:t>
            </w:r>
            <w:r w:rsidR="007853F8" w:rsidRPr="007853F8">
              <w:rPr>
                <w:rFonts w:ascii="Times New Roman" w:hAnsi="Times New Roman" w:cs="Times New Roman"/>
                <w:sz w:val="14"/>
                <w:szCs w:val="14"/>
              </w:rPr>
              <w:t xml:space="preserve"> автомобильным транспортом общего пользования в пригородном сообщении</w:t>
            </w:r>
            <w:r w:rsidR="007853F8" w:rsidRP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6A4FA1" w:rsidRPr="003639FA" w:rsidTr="00934018">
        <w:trPr>
          <w:trHeight w:val="56"/>
        </w:trPr>
        <w:tc>
          <w:tcPr>
            <w:tcW w:w="341" w:type="pct"/>
          </w:tcPr>
          <w:p w:rsidR="006A4FA1" w:rsidRPr="003639FA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pct"/>
          </w:tcPr>
          <w:p w:rsidR="006A4FA1" w:rsidRPr="00CC4574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или приобретение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объектов недвижимого имуществ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gramEnd"/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20526" w:rsidRPr="002A3032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Х</w:t>
            </w:r>
          </w:p>
        </w:tc>
        <w:tc>
          <w:tcPr>
            <w:tcW w:w="1277" w:type="pct"/>
          </w:tcPr>
          <w:p w:rsidR="006A4FA1" w:rsidRPr="001C6DA6" w:rsidRDefault="006A4FA1" w:rsidP="0026479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2A3032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 </w:t>
            </w:r>
            <w:r w:rsidR="002A3032">
              <w:rPr>
                <w:rFonts w:ascii="Times New Roman" w:hAnsi="Times New Roman" w:cs="Times New Roman"/>
                <w:sz w:val="18"/>
                <w:szCs w:val="18"/>
              </w:rPr>
              <w:t>предоставлении бюджетных ассигнований за счет субсидий из бюджета района на осуществление капитальных вложений  в объекты капитального строительства или приобретение объектов недвижимого имущества с учетом заключенных муниципальных контрактов (договоров)</w:t>
            </w:r>
            <w:proofErr w:type="gramStart"/>
            <w:r w:rsidR="002A30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одготовке и реализации бюджетных инвестиций с учетом заключенных муниципальных контрактов (договоров)</w:t>
            </w:r>
            <w:r w:rsidR="002A30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38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934018">
        <w:tc>
          <w:tcPr>
            <w:tcW w:w="341" w:type="pct"/>
          </w:tcPr>
          <w:p w:rsidR="007853F8" w:rsidRPr="005D530E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0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  <w:r w:rsidR="00903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="00903FE3">
              <w:rPr>
                <w:rFonts w:ascii="Times New Roman" w:hAnsi="Times New Roman" w:cs="Times New Roman"/>
                <w:sz w:val="20"/>
                <w:szCs w:val="20"/>
              </w:rPr>
              <w:t>,254</w:t>
            </w:r>
          </w:p>
        </w:tc>
        <w:tc>
          <w:tcPr>
            <w:tcW w:w="1277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spellStart"/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903FE3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proofErr w:type="gramEnd"/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установленны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>ми соответствующими муниципаль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ными программам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="00903FE3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38" w:type="pct"/>
          </w:tcPr>
          <w:p w:rsidR="007853F8" w:rsidRPr="005D530E" w:rsidRDefault="007853F8" w:rsidP="007B2C93"/>
        </w:tc>
      </w:tr>
      <w:tr w:rsidR="007853F8" w:rsidRPr="003639FA" w:rsidTr="00934018">
        <w:tc>
          <w:tcPr>
            <w:tcW w:w="341" w:type="pct"/>
          </w:tcPr>
          <w:p w:rsidR="007853F8" w:rsidRPr="005D530E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="00A738E2"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265F7E">
              <w:rPr>
                <w:sz w:val="18"/>
                <w:szCs w:val="18"/>
              </w:rPr>
              <w:t>)</w:t>
            </w:r>
            <w:r w:rsidR="00A738E2">
              <w:rPr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7" w:type="pct"/>
          </w:tcPr>
          <w:p w:rsidR="007853F8" w:rsidRPr="005625F5" w:rsidRDefault="007853F8" w:rsidP="00903FE3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spellStart"/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903FE3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proofErr w:type="gramEnd"/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03FE3">
              <w:rPr>
                <w:sz w:val="18"/>
                <w:szCs w:val="18"/>
              </w:rPr>
              <w:t>)</w:t>
            </w:r>
            <w:r w:rsidRPr="00265F7E">
              <w:rPr>
                <w:sz w:val="18"/>
                <w:szCs w:val="18"/>
              </w:rPr>
              <w:t xml:space="preserve">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с методиками распределения иных межбюджетных трансфертов,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установленными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Администрацией </w:t>
            </w:r>
            <w:proofErr w:type="spellStart"/>
            <w:r w:rsidR="00903FE3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38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934018">
        <w:tc>
          <w:tcPr>
            <w:tcW w:w="341" w:type="pct"/>
          </w:tcPr>
          <w:p w:rsidR="007853F8" w:rsidRPr="007B2C93" w:rsidRDefault="00792A1A" w:rsidP="002044C6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0" w:type="pct"/>
          </w:tcPr>
          <w:p w:rsidR="007853F8" w:rsidRPr="00A738E2" w:rsidRDefault="00792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74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903FE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903FE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38" w:type="pct"/>
          </w:tcPr>
          <w:p w:rsidR="007853F8" w:rsidRPr="00D77273" w:rsidRDefault="00903FE3" w:rsidP="00903FE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="00792A1A"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бюджетные ассигнования </w:t>
            </w:r>
            <w:r w:rsidR="00792A1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 соответствующим направлениям</w:t>
            </w:r>
            <w:r w:rsidR="00A738E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 бюдж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ета р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айона по состоянию на 01.01.2023</w:t>
            </w:r>
            <w:r w:rsidR="00A738E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>рации от 29.11.2017 № 209н «Об утверждении Порядка применения классификации операций сектора государственного управления»;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proofErr w:type="spellStart"/>
      <w:proofErr w:type="gramStart"/>
      <w:r w:rsidR="00BB4DCF" w:rsidRPr="00456999">
        <w:rPr>
          <w:rStyle w:val="FontStyle39"/>
          <w:rFonts w:ascii="Bookman Old Style" w:hAnsi="Bookman Old Style"/>
          <w:b/>
          <w:sz w:val="20"/>
          <w:szCs w:val="20"/>
          <w:lang w:val="en-US"/>
        </w:rPr>
        <w:t>i</w:t>
      </w:r>
      <w:proofErr w:type="spellEnd"/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7D2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E3B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4C6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00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3FAB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9E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032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6EDF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5B8F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665F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5B"/>
    <w:rsid w:val="00372760"/>
    <w:rsid w:val="0037279E"/>
    <w:rsid w:val="00373891"/>
    <w:rsid w:val="0037481E"/>
    <w:rsid w:val="003748EF"/>
    <w:rsid w:val="00374A09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1E3B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6D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643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2E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074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6999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4ED3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146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39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06C7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414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B9C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6231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D1E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88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6FA1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4D8A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3FE3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18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52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3D3E"/>
    <w:rsid w:val="009B4458"/>
    <w:rsid w:val="009B4885"/>
    <w:rsid w:val="009B4AFF"/>
    <w:rsid w:val="009B4BF1"/>
    <w:rsid w:val="009B4D6B"/>
    <w:rsid w:val="009B5184"/>
    <w:rsid w:val="009B526E"/>
    <w:rsid w:val="009B537C"/>
    <w:rsid w:val="009B5E05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183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32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6EDC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1D02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93D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0F1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610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C3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24C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92F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E0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5AB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4C91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99C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BFC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DA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1706D-4A69-4F36-8058-E50A6431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Лопатина</cp:lastModifiedBy>
  <cp:revision>15</cp:revision>
  <dcterms:created xsi:type="dcterms:W3CDTF">2022-07-04T07:05:00Z</dcterms:created>
  <dcterms:modified xsi:type="dcterms:W3CDTF">2023-07-24T12:39:00Z</dcterms:modified>
</cp:coreProperties>
</file>