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925" cy="685800"/>
                <wp:effectExtent l="19050" t="0" r="9525" b="0"/>
                <wp:docPr id="1" name="Рисунок 1" descr="GERBPO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GERBPOD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29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.8pt;height:54.0pt;mso-wrap-distance-left:0.0pt;mso-wrap-distance-top:0.0pt;mso-wrap-distance-right:0.0pt;mso-wrap-distance-bottom:0.0pt;" stroked="f" strokeweight="0.75pt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jc w:val="center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ПОДОСИНОВСКАЯ РАЙОННАЯ ДУМА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ШЕС</w:t>
      </w:r>
      <w:r>
        <w:rPr>
          <w:rFonts w:ascii="Times New Roman" w:hAnsi="Times New Roman" w:cs="Times New Roman"/>
          <w:b/>
          <w:sz w:val="28"/>
        </w:rPr>
        <w:t xml:space="preserve">ТОГО СОЗЫВА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.2021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пгт Подосиновец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Подосиновской районной Думы 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.1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.200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79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96"/>
        <w:ind w:firstLine="709"/>
        <w:jc w:val="both"/>
        <w:spacing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21.12.2001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78</w:t>
      </w:r>
      <w:r>
        <w:rPr>
          <w:rFonts w:ascii="Times New Roman" w:hAnsi="Times New Roman" w:cs="Times New Roman"/>
          <w:sz w:val="28"/>
          <w:szCs w:val="28"/>
        </w:rPr>
        <w:t xml:space="preserve">-ФЗ «О </w:t>
      </w:r>
      <w:r>
        <w:rPr>
          <w:rFonts w:ascii="Times New Roman" w:hAnsi="Times New Roman" w:cs="Times New Roman"/>
          <w:sz w:val="28"/>
          <w:szCs w:val="28"/>
        </w:rPr>
        <w:t xml:space="preserve">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статьей 8 Устава Подосиновского района Кировской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Подосиновская районная Дума РЕШИЛА:</w:t>
      </w:r>
      <w:r/>
    </w:p>
    <w:p>
      <w:pPr>
        <w:numPr>
          <w:ilvl w:val="0"/>
          <w:numId w:val="1"/>
        </w:numPr>
        <w:ind w:left="0" w:firstLine="709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 xml:space="preserve">изменения в решение Подосиновской районной Думы от </w:t>
      </w: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  <w:t xml:space="preserve">.1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.200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79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Порядка и условий приватизации муниципального имущества муниципального образования Подосиновский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</w:t>
      </w:r>
      <w:r>
        <w:rPr>
          <w:rFonts w:ascii="Times New Roman" w:hAnsi="Times New Roman" w:cs="Times New Roman"/>
          <w:sz w:val="28"/>
          <w:szCs w:val="28"/>
        </w:rPr>
        <w:t xml:space="preserve"> изменениями, </w:t>
      </w:r>
      <w:r>
        <w:rPr>
          <w:rFonts w:ascii="Times New Roman" w:hAnsi="Times New Roman" w:cs="Times New Roman"/>
          <w:sz w:val="28"/>
          <w:szCs w:val="28"/>
        </w:rPr>
        <w:t xml:space="preserve">внесенными </w:t>
      </w:r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r>
        <w:rPr>
          <w:rFonts w:ascii="Times New Roman" w:hAnsi="Times New Roman" w:cs="Times New Roman"/>
          <w:sz w:val="28"/>
          <w:szCs w:val="28"/>
        </w:rPr>
        <w:t xml:space="preserve">Подосиновск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29.04</w:t>
      </w:r>
      <w:r>
        <w:rPr>
          <w:rFonts w:ascii="Times New Roman" w:hAnsi="Times New Roman" w:cs="Times New Roman"/>
          <w:sz w:val="28"/>
          <w:szCs w:val="28"/>
        </w:rPr>
        <w:t xml:space="preserve">.201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44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285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 19.04.2016 № 70/393, </w:t>
      </w:r>
      <w:r>
        <w:rPr>
          <w:rFonts w:ascii="Times New Roman" w:hAnsi="Times New Roman" w:cs="Times New Roman"/>
          <w:sz w:val="28"/>
          <w:szCs w:val="28"/>
        </w:rPr>
        <w:t xml:space="preserve">от 25.02.2019 № 31/19</w:t>
      </w:r>
      <w:r>
        <w:rPr>
          <w:rFonts w:ascii="Times New Roman" w:hAnsi="Times New Roman" w:cs="Times New Roman"/>
          <w:sz w:val="28"/>
          <w:szCs w:val="28"/>
        </w:rPr>
        <w:t xml:space="preserve">6, от 29.11.2019 № 41/265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pStyle w:val="703"/>
        <w:numPr>
          <w:ilvl w:val="1"/>
          <w:numId w:val="1"/>
        </w:numPr>
        <w:ind w:left="0" w:firstLine="709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приложение «</w:t>
      </w:r>
      <w:r>
        <w:rPr>
          <w:rFonts w:ascii="Times New Roman" w:hAnsi="Times New Roman" w:cs="Times New Roman"/>
          <w:sz w:val="28"/>
          <w:szCs w:val="28"/>
        </w:rPr>
        <w:t xml:space="preserve">Поряд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к и услови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муниципального образования Подосиновский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внести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r/>
    </w:p>
    <w:p>
      <w:pPr>
        <w:pStyle w:val="703"/>
        <w:numPr>
          <w:ilvl w:val="2"/>
          <w:numId w:val="1"/>
        </w:numPr>
        <w:ind w:left="0" w:firstLine="709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1.4 дополнить </w:t>
      </w:r>
      <w:r>
        <w:rPr>
          <w:rFonts w:ascii="Times New Roman" w:hAnsi="Times New Roman" w:cs="Times New Roman"/>
          <w:sz w:val="28"/>
          <w:szCs w:val="28"/>
        </w:rPr>
        <w:t xml:space="preserve">перед последним абзацем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подпункт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 следующего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«13)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мущества, принадлежащего на праве хозяйственного ведения, постоянного (бессрочного) пользования, аренды федеральному государственному унитарному предприятию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Почта России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при его реорганизации на основании Федерального </w:t>
      </w:r>
      <w:hyperlink r:id="rId10" w:tooltip="consultantplus://offline/ref=A16C9CCF18EE490071CB86931CC58B062D6CD27B6F3FFB34C5E42F076195DC432787775076ABCFFEC433B5012DM1c4L" w:history="1">
        <w:r>
          <w:rPr>
            <w:rFonts w:ascii="Times New Roman" w:hAnsi="Times New Roman" w:cs="Times New Roman"/>
            <w:sz w:val="28"/>
            <w:szCs w:val="28"/>
          </w:rPr>
          <w:t xml:space="preserve"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особенностях реорганизации федерального государственного унитарного предприятия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Почта России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основах деятельности акционерного общества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Почта России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  <w:t xml:space="preserve">»</w:t>
      </w:r>
      <w:r>
        <w:rPr>
          <w:rFonts w:ascii="Times New Roman" w:hAnsi="Times New Roman" w:eastAsia="Calibri" w:cs="Times New Roman"/>
          <w:sz w:val="28"/>
          <w:szCs w:val="28"/>
        </w:rPr>
        <w:t xml:space="preserve">;</w:t>
      </w:r>
      <w:r/>
    </w:p>
    <w:p>
      <w:pPr>
        <w:pStyle w:val="703"/>
        <w:numPr>
          <w:ilvl w:val="2"/>
          <w:numId w:val="1"/>
        </w:numPr>
        <w:ind w:left="0" w:firstLine="709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Пункт 2.9 дополнить вторым абзацем следующего содержания:</w:t>
      </w:r>
      <w:r/>
    </w:p>
    <w:p>
      <w:pPr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«Администрация района представляет и</w:t>
      </w:r>
      <w:r>
        <w:rPr>
          <w:rFonts w:ascii="Times New Roman" w:hAnsi="Times New Roman" w:eastAsia="Calibri" w:cs="Times New Roman"/>
          <w:sz w:val="28"/>
          <w:szCs w:val="28"/>
        </w:rPr>
        <w:t xml:space="preserve">нформацию в соответствии с формами отчетов об итогах исполнения прогнозных планов (программ) приватизации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государственного 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муниципального имущества, утверждаемыми Правительством Российской Федерации</w:t>
      </w:r>
      <w:r>
        <w:rPr>
          <w:rFonts w:ascii="Times New Roman" w:hAnsi="Times New Roman" w:eastAsia="Calibri" w:cs="Times New Roman"/>
          <w:sz w:val="28"/>
          <w:szCs w:val="28"/>
        </w:rPr>
        <w:t xml:space="preserve">,</w:t>
      </w:r>
      <w:r>
        <w:rPr>
          <w:rFonts w:ascii="Times New Roman" w:hAnsi="Times New Roman" w:eastAsia="Calibri" w:cs="Times New Roman"/>
          <w:sz w:val="28"/>
          <w:szCs w:val="28"/>
        </w:rPr>
        <w:t xml:space="preserve"> в Министерство имущественных отношений Кировской области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.»;</w:t>
      </w:r>
      <w:r/>
    </w:p>
    <w:p>
      <w:pPr>
        <w:pStyle w:val="703"/>
        <w:numPr>
          <w:ilvl w:val="2"/>
          <w:numId w:val="1"/>
        </w:numPr>
        <w:ind w:left="0" w:firstLine="709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Пункт 4.1 дополнить подпунктом 4.1.17 следующего содержания: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«4.1.17.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Цена муниципального имущества, установленная по результатам проведения аукциона, не может быть оспорена отдельно от результатов аукциона</w:t>
      </w:r>
      <w:r>
        <w:rPr>
          <w:rFonts w:ascii="Times New Roman" w:hAnsi="Times New Roman" w:cs="Times New Roman"/>
          <w:sz w:val="28"/>
          <w:szCs w:val="28"/>
        </w:rPr>
        <w:t xml:space="preserve">.»;</w:t>
      </w:r>
      <w:r/>
    </w:p>
    <w:p>
      <w:pPr>
        <w:pStyle w:val="703"/>
        <w:numPr>
          <w:ilvl w:val="2"/>
          <w:numId w:val="1"/>
        </w:numPr>
        <w:ind w:left="0" w:firstLine="709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Пункт 4.2 дополнить подпунктом 4.2.25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следующего содержания: «4.1.17. Цена муниципального имущества, установленная по результатам проведения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конкурс</w:t>
      </w:r>
      <w:r>
        <w:rPr>
          <w:rFonts w:ascii="Times New Roman" w:hAnsi="Times New Roman" w:eastAsia="Calibri" w:cs="Times New Roman"/>
          <w:sz w:val="28"/>
          <w:szCs w:val="28"/>
        </w:rPr>
        <w:t xml:space="preserve">а, не может быть оспорена отдельно от результатов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конкурса</w:t>
      </w:r>
      <w:r>
        <w:rPr>
          <w:rFonts w:ascii="Times New Roman" w:hAnsi="Times New Roman" w:eastAsia="Calibri" w:cs="Times New Roman"/>
          <w:sz w:val="28"/>
          <w:szCs w:val="28"/>
        </w:rPr>
        <w:t xml:space="preserve">.»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/>
    </w:p>
    <w:p>
      <w:pPr>
        <w:pStyle w:val="703"/>
        <w:numPr>
          <w:ilvl w:val="0"/>
          <w:numId w:val="1"/>
        </w:numPr>
        <w:ind w:left="0"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703"/>
        <w:numPr>
          <w:ilvl w:val="0"/>
          <w:numId w:val="1"/>
        </w:numPr>
        <w:ind w:left="0"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решение в сети «Интернет» на официальном сайте Администрации Подосиновского района по адресу </w:t>
      </w:r>
      <w:hyperlink r:id="rId11" w:tooltip="http://www.podosadm.ru" w:history="1">
        <w:r>
          <w:rPr>
            <w:rStyle w:val="701"/>
            <w:rFonts w:ascii="Times New Roman" w:hAnsi="Times New Roman" w:cs="Times New Roman"/>
            <w:sz w:val="28"/>
            <w:szCs w:val="28"/>
          </w:rPr>
          <w:t xml:space="preserve">www.podosadm.ru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360" w:lineRule="auto"/>
        <w:tabs>
          <w:tab w:val="left" w:pos="0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360" w:lineRule="auto"/>
        <w:tabs>
          <w:tab w:val="left" w:pos="0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Подосиновской районной </w:t>
      </w:r>
      <w:r>
        <w:rPr>
          <w:rFonts w:ascii="Times New Roman" w:hAnsi="Times New Roman" w:cs="Times New Roman"/>
          <w:sz w:val="28"/>
          <w:szCs w:val="28"/>
        </w:rPr>
        <w:t xml:space="preserve">Думы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Д.В. Копосов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/>
    </w:p>
    <w:p>
      <w:pPr>
        <w:jc w:val="both"/>
        <w:spacing w:after="0" w:line="240" w:lineRule="auto"/>
        <w:tabs>
          <w:tab w:val="left" w:pos="729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Подосиновского района                                                 С.П. Синицын</w:t>
      </w:r>
      <w:r/>
    </w:p>
    <w:tbl>
      <w:tblPr>
        <w:tblW w:w="96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661"/>
      </w:tblGrid>
      <w:tr>
        <w:trPr/>
        <w:tc>
          <w:tcPr>
            <w:shd w:val="clear" w:color="auto" w:fill="auto"/>
            <w:tcW w:w="69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ПОДГОТОВЛЕНО:</w:t>
            </w:r>
            <w:r/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Заведующий отделом по УМИ и ЗР </w:t>
            </w:r>
            <w:r/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Администрации района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СОГЛАСОВАНО:</w:t>
            </w:r>
            <w:r/>
          </w:p>
        </w:tc>
        <w:tc>
          <w:tcPr>
            <w:shd w:val="clear" w:color="auto" w:fill="auto"/>
            <w:tcW w:w="266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М.В. Бестужева</w:t>
            </w:r>
            <w:r/>
          </w:p>
        </w:tc>
      </w:tr>
      <w:tr>
        <w:trPr>
          <w:trHeight w:val="185"/>
        </w:trPr>
        <w:tc>
          <w:tcPr>
            <w:shd w:val="clear" w:color="auto" w:fill="auto"/>
            <w:tcW w:w="6946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Первый заместитель главы</w:t>
            </w:r>
            <w:r/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Администрации района</w:t>
            </w:r>
            <w:r/>
          </w:p>
        </w:tc>
        <w:tc>
          <w:tcPr>
            <w:shd w:val="clear" w:color="auto" w:fill="auto"/>
            <w:tcW w:w="26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Е.В. Терентьева</w:t>
            </w:r>
            <w:r/>
          </w:p>
        </w:tc>
      </w:tr>
      <w:tr>
        <w:trPr>
          <w:trHeight w:val="185"/>
        </w:trPr>
        <w:tc>
          <w:tcPr>
            <w:shd w:val="clear" w:color="auto" w:fill="auto"/>
            <w:tcW w:w="69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6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6946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Заведующий организационно-</w:t>
            </w:r>
            <w:r/>
          </w:p>
          <w:p>
            <w:pPr>
              <w:ind w:left="-108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правовым отделом     </w:t>
            </w:r>
            <w:r/>
          </w:p>
          <w:p>
            <w:pPr>
              <w:ind w:left="-108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Администрации района</w:t>
            </w:r>
            <w:r/>
          </w:p>
        </w:tc>
        <w:tc>
          <w:tcPr>
            <w:shd w:val="clear" w:color="auto" w:fill="auto"/>
            <w:tcW w:w="266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723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tabs>
                <w:tab w:val="left" w:pos="723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tabs>
                <w:tab w:val="left" w:pos="723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В.А. Колесников   </w:t>
            </w:r>
            <w:r/>
          </w:p>
        </w:tc>
      </w:tr>
      <w:tr>
        <w:trPr/>
        <w:tc>
          <w:tcPr>
            <w:shd w:val="clear" w:color="auto" w:fill="auto"/>
            <w:tcW w:w="6946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  <w:p>
            <w:pPr>
              <w:ind w:left="-108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Ведущий специалист организационно-</w:t>
            </w:r>
            <w:r/>
          </w:p>
          <w:p>
            <w:pPr>
              <w:ind w:left="-108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правового отдела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Администрации района</w:t>
            </w:r>
            <w:r/>
          </w:p>
        </w:tc>
        <w:tc>
          <w:tcPr>
            <w:shd w:val="clear" w:color="auto" w:fill="auto"/>
            <w:tcW w:w="266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7230" w:leader="none"/>
              </w:tabs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tabs>
                <w:tab w:val="left" w:pos="7230" w:leader="none"/>
              </w:tabs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tabs>
                <w:tab w:val="left" w:pos="7230" w:leader="none"/>
              </w:tabs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О.В. Нагаева</w:t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Разослать: отдел по У</w:t>
      </w:r>
      <w:r>
        <w:rPr>
          <w:rFonts w:ascii="Times New Roman" w:hAnsi="Times New Roman" w:cs="Times New Roman"/>
          <w:sz w:val="28"/>
          <w:szCs w:val="28"/>
        </w:rPr>
        <w:t xml:space="preserve">МИ</w:t>
      </w:r>
      <w:r>
        <w:rPr>
          <w:rFonts w:ascii="Times New Roman" w:hAnsi="Times New Roman" w:cs="Times New Roman"/>
          <w:sz w:val="28"/>
          <w:szCs w:val="28"/>
        </w:rPr>
        <w:t xml:space="preserve"> и ЗР – 2.</w:t>
      </w:r>
      <w:r/>
    </w:p>
    <w:sectPr>
      <w:footnotePr/>
      <w:endnotePr/>
      <w:type w:val="nextPage"/>
      <w:pgSz w:w="11906" w:h="16838" w:orient="portrait"/>
      <w:pgMar w:top="1135" w:right="567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imes New Roman">
    <w:panose1 w:val="02020603050405020304"/>
  </w:font>
  <w:font w:name="Calibri">
    <w:panose1 w:val="020F0502020204030204"/>
  </w:font>
  <w:font w:name="Tahoma">
    <w:panose1 w:val="020B05060306020302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80" w:hanging="84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9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65" w:hanging="8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7" w:hanging="360"/>
      </w:pPr>
      <w:rPr>
        <w:rFonts w:hint="default" w:eastAsia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55" w:hanging="91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90" w:hanging="105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65" w:hanging="8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65" w:hanging="8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20" w:hanging="78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20" w:hanging="108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786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27"/>
  </w:num>
  <w:num w:numId="4">
    <w:abstractNumId w:val="1"/>
  </w:num>
  <w:num w:numId="5">
    <w:abstractNumId w:val="22"/>
  </w:num>
  <w:num w:numId="6">
    <w:abstractNumId w:val="8"/>
  </w:num>
  <w:num w:numId="7">
    <w:abstractNumId w:val="2"/>
  </w:num>
  <w:num w:numId="8">
    <w:abstractNumId w:val="24"/>
  </w:num>
  <w:num w:numId="9">
    <w:abstractNumId w:val="15"/>
  </w:num>
  <w:num w:numId="10">
    <w:abstractNumId w:val="4"/>
  </w:num>
  <w:num w:numId="11">
    <w:abstractNumId w:val="12"/>
  </w:num>
  <w:num w:numId="12">
    <w:abstractNumId w:val="11"/>
  </w:num>
  <w:num w:numId="13">
    <w:abstractNumId w:val="25"/>
  </w:num>
  <w:num w:numId="14">
    <w:abstractNumId w:val="26"/>
  </w:num>
  <w:num w:numId="15">
    <w:abstractNumId w:val="10"/>
  </w:num>
  <w:num w:numId="16">
    <w:abstractNumId w:val="20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0"/>
  </w:num>
  <w:num w:numId="22">
    <w:abstractNumId w:val="6"/>
  </w:num>
  <w:num w:numId="23">
    <w:abstractNumId w:val="21"/>
  </w:num>
  <w:num w:numId="24">
    <w:abstractNumId w:val="14"/>
  </w:num>
  <w:num w:numId="25">
    <w:abstractNumId w:val="28"/>
  </w:num>
  <w:num w:numId="26">
    <w:abstractNumId w:val="9"/>
  </w:num>
  <w:num w:numId="27">
    <w:abstractNumId w:val="3"/>
  </w:num>
  <w:num w:numId="28">
    <w:abstractNumId w:val="23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92"/>
    <w:next w:val="69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93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92"/>
    <w:next w:val="69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93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92"/>
    <w:next w:val="69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93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92"/>
    <w:next w:val="69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93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92"/>
    <w:next w:val="69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93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92"/>
    <w:next w:val="69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93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92"/>
    <w:next w:val="69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9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92"/>
    <w:next w:val="69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9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92"/>
    <w:next w:val="69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9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92"/>
    <w:next w:val="69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93"/>
    <w:link w:val="33"/>
    <w:uiPriority w:val="10"/>
    <w:rPr>
      <w:sz w:val="48"/>
      <w:szCs w:val="48"/>
    </w:rPr>
  </w:style>
  <w:style w:type="paragraph" w:styleId="35">
    <w:name w:val="Subtitle"/>
    <w:basedOn w:val="692"/>
    <w:next w:val="69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93"/>
    <w:link w:val="35"/>
    <w:uiPriority w:val="11"/>
    <w:rPr>
      <w:sz w:val="24"/>
      <w:szCs w:val="24"/>
    </w:rPr>
  </w:style>
  <w:style w:type="paragraph" w:styleId="37">
    <w:name w:val="Quote"/>
    <w:basedOn w:val="692"/>
    <w:next w:val="69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92"/>
    <w:next w:val="69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9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93"/>
    <w:link w:val="41"/>
    <w:uiPriority w:val="99"/>
  </w:style>
  <w:style w:type="paragraph" w:styleId="43">
    <w:name w:val="Footer"/>
    <w:basedOn w:val="69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93"/>
    <w:link w:val="43"/>
    <w:uiPriority w:val="99"/>
  </w:style>
  <w:style w:type="paragraph" w:styleId="45">
    <w:name w:val="Caption"/>
    <w:basedOn w:val="692"/>
    <w:next w:val="6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5">
    <w:name w:val="Footnote Text Char"/>
    <w:link w:val="704"/>
    <w:uiPriority w:val="99"/>
    <w:rPr>
      <w:sz w:val="18"/>
    </w:rPr>
  </w:style>
  <w:style w:type="paragraph" w:styleId="177">
    <w:name w:val="endnote text"/>
    <w:basedOn w:val="69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93"/>
    <w:uiPriority w:val="99"/>
    <w:semiHidden/>
    <w:unhideWhenUsed/>
    <w:rPr>
      <w:vertAlign w:val="superscript"/>
    </w:rPr>
  </w:style>
  <w:style w:type="paragraph" w:styleId="180">
    <w:name w:val="toc 1"/>
    <w:basedOn w:val="692"/>
    <w:next w:val="69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92"/>
    <w:next w:val="69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92"/>
    <w:next w:val="69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92"/>
    <w:next w:val="69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92"/>
    <w:next w:val="69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92"/>
    <w:next w:val="69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92"/>
    <w:next w:val="69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92"/>
    <w:next w:val="69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92"/>
    <w:next w:val="69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92"/>
    <w:next w:val="692"/>
    <w:uiPriority w:val="99"/>
    <w:unhideWhenUsed/>
    <w:pPr>
      <w:spacing w:after="0" w:afterAutospacing="0"/>
    </w:pPr>
  </w:style>
  <w:style w:type="paragraph" w:styleId="692" w:default="1">
    <w:name w:val="Normal"/>
    <w:qFormat/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paragraph" w:styleId="696" w:customStyle="1">
    <w:name w:val="ConsPlusTitle"/>
    <w:pPr>
      <w:spacing w:after="0" w:line="240" w:lineRule="auto"/>
      <w:widowControl w:val="off"/>
    </w:pPr>
    <w:rPr>
      <w:rFonts w:ascii="Arial" w:hAnsi="Arial" w:eastAsia="Arial" w:cs="Arial"/>
      <w:b/>
      <w:bCs/>
      <w:sz w:val="20"/>
      <w:szCs w:val="20"/>
      <w:lang w:eastAsia="ar-SA"/>
    </w:rPr>
  </w:style>
  <w:style w:type="paragraph" w:styleId="697">
    <w:name w:val="Balloon Text"/>
    <w:basedOn w:val="692"/>
    <w:link w:val="69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98" w:customStyle="1">
    <w:name w:val="Текст выноски Знак"/>
    <w:basedOn w:val="693"/>
    <w:link w:val="697"/>
    <w:uiPriority w:val="99"/>
    <w:semiHidden/>
    <w:rPr>
      <w:rFonts w:ascii="Tahoma" w:hAnsi="Tahoma" w:cs="Tahoma"/>
      <w:sz w:val="16"/>
      <w:szCs w:val="16"/>
    </w:rPr>
  </w:style>
  <w:style w:type="paragraph" w:styleId="699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</w:rPr>
  </w:style>
  <w:style w:type="paragraph" w:styleId="700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</w:rPr>
  </w:style>
  <w:style w:type="character" w:styleId="701">
    <w:name w:val="Hyperlink"/>
    <w:basedOn w:val="693"/>
    <w:uiPriority w:val="99"/>
    <w:unhideWhenUsed/>
    <w:rPr>
      <w:color w:val="0000ff" w:themeColor="hyperlink"/>
      <w:u w:val="single"/>
    </w:rPr>
  </w:style>
  <w:style w:type="character" w:styleId="702">
    <w:name w:val="Strong"/>
    <w:basedOn w:val="693"/>
    <w:qFormat/>
    <w:rPr>
      <w:b/>
      <w:bCs/>
    </w:rPr>
  </w:style>
  <w:style w:type="paragraph" w:styleId="703">
    <w:name w:val="List Paragraph"/>
    <w:basedOn w:val="692"/>
    <w:uiPriority w:val="34"/>
    <w:qFormat/>
    <w:pPr>
      <w:contextualSpacing/>
      <w:ind w:left="720"/>
    </w:pPr>
  </w:style>
  <w:style w:type="paragraph" w:styleId="704">
    <w:name w:val="footnote text"/>
    <w:basedOn w:val="692"/>
    <w:link w:val="70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705" w:customStyle="1">
    <w:name w:val="Текст сноски Знак"/>
    <w:basedOn w:val="693"/>
    <w:link w:val="704"/>
    <w:uiPriority w:val="99"/>
    <w:semiHidden/>
    <w:rPr>
      <w:sz w:val="20"/>
      <w:szCs w:val="20"/>
    </w:rPr>
  </w:style>
  <w:style w:type="paragraph" w:styleId="706" w:customStyle="1">
    <w:name w:val="Знак сноски1"/>
    <w:basedOn w:val="692"/>
    <w:link w:val="707"/>
    <w:uiPriority w:val="99"/>
    <w:rPr>
      <w:rFonts w:ascii="Calibri" w:hAnsi="Calibri" w:eastAsia="Times New Roman" w:cs="Times New Roman"/>
      <w:sz w:val="20"/>
      <w:szCs w:val="20"/>
      <w:vertAlign w:val="superscript"/>
    </w:rPr>
  </w:style>
  <w:style w:type="character" w:styleId="707">
    <w:name w:val="footnote reference"/>
    <w:link w:val="706"/>
    <w:uiPriority w:val="99"/>
    <w:rPr>
      <w:rFonts w:ascii="Calibri" w:hAnsi="Calibri" w:eastAsia="Times New Roman" w:cs="Times New Roman"/>
      <w:sz w:val="20"/>
      <w:szCs w:val="20"/>
      <w:vertAlign w:val="superscript"/>
    </w:rPr>
  </w:style>
  <w:style w:type="table" w:styleId="708">
    <w:name w:val="Table Grid"/>
    <w:basedOn w:val="69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consultantplus://offline/ref=A16C9CCF18EE490071CB86931CC58B062D6CD27B6F3FFB34C5E42F076195DC432787775076ABCFFEC433B5012DM1c4L" TargetMode="External"/><Relationship Id="rId11" Type="http://schemas.openxmlformats.org/officeDocument/2006/relationships/hyperlink" Target="http://www.podosadm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Максим Якимов</cp:lastModifiedBy>
  <cp:revision>12</cp:revision>
  <dcterms:created xsi:type="dcterms:W3CDTF">2021-11-17T10:25:00Z</dcterms:created>
  <dcterms:modified xsi:type="dcterms:W3CDTF">2022-12-20T08:20:19Z</dcterms:modified>
</cp:coreProperties>
</file>