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BE" w:rsidRDefault="00917E40" w:rsidP="00917E40">
      <w:r>
        <w:t xml:space="preserve">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307CBE" w:rsidRPr="00307CBE" w:rsidTr="00235D65">
        <w:tc>
          <w:tcPr>
            <w:tcW w:w="9184" w:type="dxa"/>
            <w:shd w:val="clear" w:color="auto" w:fill="auto"/>
          </w:tcPr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t>АДМИНИСТРАЦИЯ ПОДОСИНОВСКОГО РАЙОНА</w: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0"/>
          </w:p>
          <w:p w:rsidR="00307CBE" w:rsidRPr="00307CBE" w:rsidRDefault="00307CBE" w:rsidP="00307CBE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t>КИРОВСКОЙ ОБЛАСТИ</w: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1"/>
          </w:p>
          <w:p w:rsidR="00307CBE" w:rsidRPr="00307CBE" w:rsidRDefault="00307CBE" w:rsidP="00307CB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t>РАСПОРЯЖЕНИЕ</w:t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end"/>
            </w:r>
            <w:bookmarkEnd w:id="2"/>
          </w:p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07CBE" w:rsidRPr="00307CBE" w:rsidRDefault="00307CBE" w:rsidP="00307CBE">
      <w:pPr>
        <w:widowControl/>
        <w:suppressAutoHyphens w:val="0"/>
        <w:rPr>
          <w:rFonts w:eastAsia="Times New Roman" w:cs="Times New Roman"/>
          <w:vanish/>
          <w:kern w:val="0"/>
          <w:sz w:val="20"/>
          <w:szCs w:val="20"/>
          <w:lang w:eastAsia="ru-RU" w:bidi="ar-SA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731"/>
        <w:gridCol w:w="2372"/>
        <w:gridCol w:w="709"/>
        <w:gridCol w:w="1383"/>
      </w:tblGrid>
      <w:tr w:rsidR="00307CBE" w:rsidRPr="00307CBE" w:rsidTr="00235D65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07CBE" w:rsidRPr="00307CBE" w:rsidRDefault="00383F60" w:rsidP="00383F60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27.12.2023</w:t>
            </w:r>
          </w:p>
        </w:tc>
        <w:tc>
          <w:tcPr>
            <w:tcW w:w="2731" w:type="dxa"/>
          </w:tcPr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position w:val="-6"/>
                <w:lang w:eastAsia="ru-RU" w:bidi="ar-SA"/>
              </w:rPr>
            </w:pPr>
          </w:p>
        </w:tc>
        <w:tc>
          <w:tcPr>
            <w:tcW w:w="2372" w:type="dxa"/>
          </w:tcPr>
          <w:p w:rsidR="00307CBE" w:rsidRPr="00307CBE" w:rsidRDefault="00307CBE" w:rsidP="00307CB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07CBE"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6" w:space="0" w:color="auto"/>
            </w:tcBorders>
          </w:tcPr>
          <w:p w:rsidR="00307CBE" w:rsidRPr="00307CBE" w:rsidRDefault="00383F60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703</w:t>
            </w:r>
          </w:p>
        </w:tc>
      </w:tr>
      <w:tr w:rsidR="00307CBE" w:rsidRPr="00307CBE" w:rsidTr="00235D65">
        <w:tc>
          <w:tcPr>
            <w:tcW w:w="9180" w:type="dxa"/>
            <w:gridSpan w:val="6"/>
          </w:tcPr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07C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пгт Подосиновец </w:t>
            </w:r>
          </w:p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07CBE" w:rsidRPr="00307CBE" w:rsidTr="00235D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8" w:type="dxa"/>
          <w:wAfter w:w="1383" w:type="dxa"/>
          <w:trHeight w:val="1581"/>
        </w:trPr>
        <w:tc>
          <w:tcPr>
            <w:tcW w:w="6379" w:type="dxa"/>
            <w:gridSpan w:val="4"/>
            <w:shd w:val="clear" w:color="auto" w:fill="auto"/>
          </w:tcPr>
          <w:p w:rsidR="00307CBE" w:rsidRPr="00307CBE" w:rsidRDefault="00A73F2B" w:rsidP="00307CBE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 внесении изменений в Распоряжение Администрации Подосиновского района от 30.06.2023 №309</w:t>
            </w:r>
          </w:p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150492" w:rsidRDefault="00150492" w:rsidP="007004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На основании</w:t>
      </w:r>
      <w:r w:rsidR="008F4C1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Постановлени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я</w:t>
      </w:r>
      <w:r w:rsidR="008F4C1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Правительства Кировской области от 07.07.2023 № 366-П </w:t>
      </w:r>
      <w:r w:rsidR="000723B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«О внесении изменений </w:t>
      </w:r>
      <w:r w:rsidR="0070049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</w:t>
      </w:r>
      <w:r w:rsidR="000723BA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 Правительства Кировской области от 29.09.2021 № 498-П «Об утверждении Программы по противодействию коррупции в Кировской области на 2021-2024 годы»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307CBE" w:rsidRPr="00150492" w:rsidRDefault="00150492" w:rsidP="000E2F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E2F3F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0723BA" w:rsidRP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нести 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изменения </w:t>
      </w:r>
      <w:r w:rsidR="000723BA" w:rsidRPr="000E2F3F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8F4C17" w:rsidRP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0E2F3F">
        <w:rPr>
          <w:rFonts w:eastAsia="Calibri" w:cs="Times New Roman"/>
          <w:kern w:val="0"/>
          <w:sz w:val="28"/>
          <w:szCs w:val="28"/>
          <w:lang w:eastAsia="en-US" w:bidi="ar-SA"/>
        </w:rPr>
        <w:t>Распоряжение Администрации Подосиновского района от 30.06.2023 № 309 «Об утверждении плана мероприятий по противодействию коррупции в Подосиновском районе на 2023 год»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(с изменениями внесенными Распоряжением Администрации Подосиновского района от </w:t>
      </w:r>
      <w:r w:rsidR="00383F60" w:rsidRPr="00383F60">
        <w:rPr>
          <w:rFonts w:eastAsia="Calibri" w:cs="Times New Roman"/>
          <w:kern w:val="0"/>
          <w:sz w:val="28"/>
          <w:szCs w:val="28"/>
          <w:lang w:eastAsia="en-US" w:bidi="ar-SA"/>
        </w:rPr>
        <w:t>31.08.2023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№441А)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, утвердив «</w:t>
      </w:r>
      <w:hyperlink w:anchor="Par29" w:history="1">
        <w:r w:rsidR="000E2F3F">
          <w:rPr>
            <w:rFonts w:eastAsia="Calibri" w:cs="Times New Roman"/>
            <w:kern w:val="0"/>
            <w:sz w:val="28"/>
            <w:szCs w:val="28"/>
            <w:lang w:eastAsia="en-US" w:bidi="ar-SA"/>
          </w:rPr>
          <w:t>План</w:t>
        </w:r>
      </w:hyperlink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мероприятий по противодействию коррупции в </w:t>
      </w:r>
      <w:r w:rsidR="00307CBE" w:rsidRPr="0015049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Подосиновском районе 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на 2023</w:t>
      </w:r>
      <w:r w:rsidR="003137FA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-2024</w:t>
      </w:r>
      <w:r w:rsidR="000723BA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ы»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F4C17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в новой редакции</w:t>
      </w:r>
      <w:r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(прилагается).</w:t>
      </w:r>
    </w:p>
    <w:p w:rsidR="00307CBE" w:rsidRPr="00307CBE" w:rsidRDefault="00307CBE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7CBE" w:rsidRDefault="00307CBE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0522B" w:rsidRPr="00307CBE" w:rsidRDefault="0010522B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7CBE" w:rsidRPr="00307CBE" w:rsidRDefault="008F4C17" w:rsidP="00307CB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Гл</w:t>
      </w:r>
      <w:r w:rsidR="00742DF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ава Подосиновского района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70049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Д.В. Копосов</w:t>
      </w:r>
    </w:p>
    <w:p w:rsidR="00307CBE" w:rsidRDefault="00307CBE" w:rsidP="00917E40"/>
    <w:p w:rsidR="00307CBE" w:rsidRDefault="00307CBE" w:rsidP="00917E40"/>
    <w:p w:rsidR="00A3584D" w:rsidRDefault="00A3584D" w:rsidP="00917E40"/>
    <w:p w:rsidR="00307CBE" w:rsidRDefault="00307CBE" w:rsidP="00917E40"/>
    <w:p w:rsidR="00307CBE" w:rsidRDefault="00307CBE" w:rsidP="00917E40"/>
    <w:p w:rsidR="004C1D8D" w:rsidRDefault="004C1D8D" w:rsidP="00917E40">
      <w:pPr>
        <w:sectPr w:rsidR="004C1D8D" w:rsidSect="004C1D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0B01" w:rsidRDefault="00DE0B01" w:rsidP="004C1D8D">
      <w:pPr>
        <w:rPr>
          <w:rFonts w:cs="Times New Roman"/>
        </w:rPr>
      </w:pPr>
    </w:p>
    <w:tbl>
      <w:tblPr>
        <w:tblStyle w:val="a4"/>
        <w:tblW w:w="4253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C1D8D" w:rsidRPr="004C1D8D" w:rsidTr="0070049C">
        <w:tc>
          <w:tcPr>
            <w:tcW w:w="4253" w:type="dxa"/>
          </w:tcPr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Приложение</w:t>
            </w:r>
          </w:p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УТВЕРЖДЕНО</w:t>
            </w:r>
          </w:p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Распоряжением Администрации Подосиновского района</w:t>
            </w:r>
          </w:p>
          <w:p w:rsidR="004C1D8D" w:rsidRPr="004C1D8D" w:rsidRDefault="004C1D8D" w:rsidP="00FE60B5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 xml:space="preserve">от </w:t>
            </w:r>
            <w:r w:rsidR="00FE60B5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27.12.</w:t>
            </w: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 xml:space="preserve">2023  № </w:t>
            </w:r>
            <w:r w:rsidR="00FE60B5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703</w:t>
            </w:r>
          </w:p>
        </w:tc>
      </w:tr>
    </w:tbl>
    <w:p w:rsidR="004C1D8D" w:rsidRPr="004C1D8D" w:rsidRDefault="004C1D8D" w:rsidP="004C1D8D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</w:p>
    <w:p w:rsidR="004C1D8D" w:rsidRPr="004C1D8D" w:rsidRDefault="004C1D8D" w:rsidP="004C1D8D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  <w:r w:rsidRPr="004C1D8D">
        <w:rPr>
          <w:rFonts w:eastAsiaTheme="minorHAnsi" w:cs="Times New Roman"/>
          <w:kern w:val="0"/>
          <w:sz w:val="28"/>
          <w:szCs w:val="20"/>
          <w:lang w:eastAsia="en-US" w:bidi="ar-SA"/>
        </w:rPr>
        <w:t>ПЛАН</w:t>
      </w:r>
    </w:p>
    <w:p w:rsidR="004C1D8D" w:rsidRPr="004C1D8D" w:rsidRDefault="004C1D8D" w:rsidP="004C1D8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  <w:r w:rsidRPr="004C1D8D">
        <w:rPr>
          <w:rFonts w:eastAsiaTheme="minorHAnsi" w:cs="Times New Roman"/>
          <w:kern w:val="0"/>
          <w:sz w:val="28"/>
          <w:szCs w:val="20"/>
          <w:lang w:eastAsia="en-US" w:bidi="ar-SA"/>
        </w:rPr>
        <w:t>МЕРОПРИЯТИЙ ПО ПРОТИВОДЕЙСТВИЮ КОРРУПЦИИ В ПОДОСИНОВСКОМ РАЙОНЕ НА 2023-2024 ГОД</w:t>
      </w:r>
    </w:p>
    <w:p w:rsidR="004C1D8D" w:rsidRPr="004C1D8D" w:rsidRDefault="004C1D8D" w:rsidP="004C1D8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8"/>
          <w:szCs w:val="20"/>
          <w:lang w:eastAsia="en-US" w:bidi="ar-SA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142"/>
        <w:gridCol w:w="1700"/>
        <w:gridCol w:w="1701"/>
        <w:gridCol w:w="2977"/>
        <w:gridCol w:w="3686"/>
      </w:tblGrid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N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/п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Показатель, индикатор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Ожидаемый результат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6" w:history="1">
              <w:r w:rsidRPr="00742DF3">
                <w:rPr>
                  <w:rFonts w:eastAsiaTheme="minorHAnsi" w:cs="Times New Roman"/>
                  <w:kern w:val="0"/>
                  <w:lang w:eastAsia="en-US" w:bidi="ar-SA"/>
                </w:rPr>
                <w:t>планом</w:t>
              </w:r>
            </w:hyperlink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Администрация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Администрация Подосиновского района, Администрации городских и сельских поселений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Назначение лиц, ответственных за работу по профилактике коррупционных и иных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правонарушений органах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Глава Подосиновского района,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Главы городских и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организации работы по профилактике коррупционных и иных правонарушений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Подосиновского района, Администрации городских и сельских поселений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7B0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исполнения муниципальными учреждениями </w:t>
            </w:r>
            <w:r w:rsidR="007B0D3F"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Заместители главы Администрации Подосиновского района (по курируемым отраслям), Администрации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bookmarkStart w:id="3" w:name="_GoBack"/>
            <w:bookmarkEnd w:id="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оценка состояния антикоррупционной работы, проводимой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</w:t>
            </w:r>
            <w:proofErr w:type="gramEnd"/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муниципальных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учреждениях</w:t>
            </w:r>
            <w:proofErr w:type="gramEnd"/>
            <w:r w:rsidR="007B0D3F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руководителями муниципальных учреждений Подосиновского района законодательства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Повышение </w:t>
            </w:r>
            <w:proofErr w:type="gramStart"/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эффективности реализации механизма урегулирования конфликта</w:t>
            </w:r>
            <w:proofErr w:type="gramEnd"/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интересов, обеспечение соблюдения лицами, замещающими муниципальные должности,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обеспечение деятельности комиссии по соблюдению требований к служебному поведению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Председатель комиссии по соблюдению требований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соблюдения муниципальными служащими требований законодательства Российской Федерации 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Кировской области о муниципальной службе и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конфликта интересов</w:t>
            </w:r>
            <w:r w:rsidR="00396F7B">
              <w:t xml:space="preserve"> представителей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институтов гражданского общества</w:t>
            </w:r>
            <w:proofErr w:type="gramEnd"/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Председатель 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396F7B" w:rsidP="00396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96F7B">
              <w:rPr>
                <w:rFonts w:eastAsiaTheme="minorHAnsi" w:cs="Times New Roman"/>
                <w:kern w:val="0"/>
                <w:lang w:eastAsia="en-US" w:bidi="ar-SA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эффективности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контроля за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 xml:space="preserve">о государственной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гражданской службе и противодействии коррупции, представляемых гражданами, претендующими на замещение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должностей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муниципальной службы, должностей руководителей муниципальных учреждений подведомственных Администрации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396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замещение, муниципальных должностей, должностей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муниципальной службы, должностей руководителей муниципальных учреждений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подведомственных Администрации Подосиновского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района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="00396F7B">
              <w:t xml:space="preserve">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Администрациям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подведомственных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Подосиновского района, Администрациям поселений, сведений, установленных законодательством Российской Федерации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Default="00617DF5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21AE0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проведения оценки коррупционных рисков, возникающих при реализации органами местного самоуправления </w:t>
            </w:r>
            <w:r w:rsidRPr="00742DF3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Подосиновского района, </w:t>
            </w:r>
            <w:r w:rsidRPr="00E21AE0">
              <w:rPr>
                <w:rFonts w:eastAsiaTheme="minorHAnsi" w:cs="Times New Roman"/>
                <w:kern w:val="0"/>
                <w:lang w:eastAsia="en-US" w:bidi="ar-SA"/>
              </w:rPr>
              <w:t>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E21AE0" w:rsidRPr="004C1D8D" w:rsidRDefault="00E21AE0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проведения оценки коррупционных рисков, возникающих при реализации органами исполнительной власти Кировской области, государственными органами Кировской области, органами местного самоуправления Кировской области возложенных на них полномочий, и внесение уточнений в перечни должностей </w:t>
            </w: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государственной гражданской службы Кировской области,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22599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195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лицами, замещающими должности муниципальной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служ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бы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Администрации Подосиновского района, Администраций поселений,  руководителями муниципальных учреждений Подосиновского района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F22599" w:rsidRDefault="00F22599" w:rsidP="00C823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Управление делами,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Управление образования, отдел культуры Администрации района;</w:t>
            </w:r>
          </w:p>
          <w:p w:rsidR="00F22599" w:rsidRPr="004C1D8D" w:rsidRDefault="00F22599" w:rsidP="00C823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поселений; руководители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ежегодно, до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30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муниципальных служащих Администрации Подосиновского района, Администраций поселений, руководителей  муниципальных учреждений Подосиновского района,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представивших сведения о доходах, расходах, об имуществе и обязательствах имущественного характера, к общему количеству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 xml:space="preserve">муниципальных служащих Администрации Подосиновского района, Администраций поселений, руководителей  муниципальных учреждений Подосиновского района,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обязанных представлять такие сведения,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своевременного исполнения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замещающими должности муниципальной службы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Администрации Подосиновского района, Администраций поселений, руководителей  муниципальных учреждений Подосиновского района,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C1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Размещение на официальных сайтах органов местного самоуправления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сведений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доходах</w:t>
            </w:r>
            <w:r w:rsidR="00BC15A8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представленных лицами, замещающими муниципальные должности,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замещающими должности муниципальной службы 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Администрации района, Администраций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должности руководителей муниципальных учреждений 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Администрации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14 рабочих дней со дня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C1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отношение количества размещенных сведений о доходах, к общему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количеству сведений о доходах,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,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подлежащих размещению,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повышение открытости и доступности информации о деятельности органов местного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самоуправления по профилактике коррупционных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>замещающими должности муниципальной службы Администрации района, Администраций поселений,  должности руководителей муниципальных учреждений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7B0D3F" w:rsidRDefault="004C1D8D" w:rsidP="00AA19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highlight w:val="yellow"/>
                <w:lang w:eastAsia="en-US" w:bidi="ar-SA"/>
              </w:rPr>
            </w:pP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 xml:space="preserve">ежегодно, до 1 </w:t>
            </w:r>
            <w:r w:rsidR="00AA19DB" w:rsidRPr="00742DF3">
              <w:rPr>
                <w:rFonts w:eastAsiaTheme="minorHAnsi" w:cs="Times New Roman"/>
                <w:kern w:val="0"/>
                <w:lang w:eastAsia="en-US" w:bidi="ar-SA"/>
              </w:rPr>
              <w:t>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A19DB" w:rsidP="00AA19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эффективного осуществления в органах местного самоуправления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 </w:t>
            </w: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t>мер по профилактике коррупционных и иных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731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Проведение с соблюдением требований законодательства о противодействии коррупции проверок достоверности и полноты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представляемых лицами, 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="00AA19DB">
              <w:rPr>
                <w:rFonts w:eastAsiaTheme="minorHAnsi" w:cs="Times New Roman"/>
                <w:kern w:val="0"/>
                <w:lang w:eastAsia="en-US" w:bidi="ar-SA"/>
              </w:rPr>
              <w:t>сведений о доходах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проведенных проверок достоверности и полноты сведений, представляемых лицами, замещающими муниципальные должности,</w:t>
            </w:r>
            <w:r w:rsidR="0019505E">
              <w:t xml:space="preserve">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должности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соблюдения лицами, замещающими муниципальные должности,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мониторинга соблюдения лицами, замещающими муниципальные должности, 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должности муниципальной службы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предупреждение нарушений законодательства о противодействии коррупции лицами, замещающими муниципальные должности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6F25F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мониторинга участия </w:t>
            </w:r>
            <w:r w:rsidR="006F25F4">
              <w:rPr>
                <w:rFonts w:eastAsiaTheme="minorHAnsi" w:cs="Times New Roman"/>
                <w:kern w:val="0"/>
                <w:lang w:eastAsia="en-US" w:bidi="ar-SA"/>
              </w:rPr>
              <w:t xml:space="preserve">лиц замещающих должности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муниципальны</w:t>
            </w:r>
            <w:r w:rsidR="006F25F4">
              <w:rPr>
                <w:rFonts w:eastAsiaTheme="minorHAnsi" w:cs="Times New Roman"/>
                <w:kern w:val="0"/>
                <w:lang w:eastAsia="en-US" w:bidi="ar-SA"/>
              </w:rPr>
              <w:t>х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 xml:space="preserve">служащих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ответственные лица администраций поселений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лиц, замещающих муниципальные должности,  по которым проведен мониторинг участия в управлении коммерческими и некоммерческими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организациями, к общему количеству лиц, муниципальные должности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5441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выявление конфликтов интересов, связанных с участием муниципальн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>ых служащих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контроля за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Глава Подосиновского района, Главы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6F25F4" w:rsidP="006F25F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6F25F4">
              <w:rPr>
                <w:rFonts w:eastAsiaTheme="minorHAnsi" w:cs="Times New Roman"/>
                <w:kern w:val="0"/>
                <w:lang w:eastAsia="en-US" w:bidi="ar-SA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774AC" w:rsidP="00A774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обеспечение исполнения муниципальными служащими требований законодательства о государственной гражданской и муниципальной службе, регулирующего вопросы получения подарков указанными лицами в связи с их должностным положением или в связи с исполнением ими служебных обязанностей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774AC" w:rsidP="00A774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муниципа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льными служащими </w:t>
            </w: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участия лиц, впервые поступивших на муниципальную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не позднее одного года со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дня поступления на службу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отношение количества муниципальных служащих,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соблюдения муниципальными служащими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обеспечения муниципальных нужд,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обучение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 гражданином, ранее замещавшим должность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Главы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рассмотренных сообщений от работодателей о заключении трудового и (или) гражданско-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заключении ими после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увольнения с муниципальной службы трудового и (или) гражданско-правового договора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21A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приема от лиц,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замещающих муниципальные должности, должности муниципальной службы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B560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замещающих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муниципальные должности, должности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ответственные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сведений о близких родственниках, а также их аффилированности коммерческим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Выявление и систематизация причин и условий проявления коррупции в деятельности органов местного самоуправления,  муниципальных учреждений, мониторинг коррупционных рисков и их устранение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антикоррупционной 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выявление в нормативных правовых актах и их проектах </w:t>
            </w:r>
            <w:proofErr w:type="spell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коррупциогенных</w:t>
            </w:r>
            <w:proofErr w:type="spell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F" w:rsidRDefault="0021198F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21198F" w:rsidRP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</w:p>
          <w:p w:rsid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</w:p>
          <w:p w:rsidR="004C1D8D" w:rsidRP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  <w:r w:rsidRPr="00742DF3">
              <w:rPr>
                <w:rFonts w:eastAsiaTheme="minorHAnsi" w:cs="Times New Roman"/>
                <w:lang w:eastAsia="en-US" w:bidi="ar-SA"/>
              </w:rPr>
              <w:t>В изм. нет этого 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 xml:space="preserve">Рассмотрение вопросов правоприменительной </w:t>
            </w:r>
            <w:proofErr w:type="gramStart"/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>практики</w:t>
            </w:r>
            <w:proofErr w:type="gramEnd"/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Подосиновского </w:t>
            </w: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района, 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образования, отдел культуры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в муниципальных учреждениях проверок соблюдения требований </w:t>
            </w:r>
            <w:hyperlink r:id="rId7" w:history="1">
              <w:r w:rsidRPr="00742DF3">
                <w:rPr>
                  <w:rFonts w:eastAsiaTheme="minorHAnsi" w:cs="Times New Roman"/>
                  <w:kern w:val="0"/>
                  <w:lang w:eastAsia="en-US" w:bidi="ar-SA"/>
                </w:rPr>
                <w:t>статьи 13.3</w:t>
              </w:r>
            </w:hyperlink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Председатель межведомственной комиссии при Администрации Подосиновского района по противодействи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ю коррупции и криминализации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не реже 1 раза в 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21198F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Утверждение в органах местного самоуправления реестра (карты) коррупционных рисков, возникающих при осуществлении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совершенствование мер по противодействию коррупции в сфере закупок товаров, работ, услуг для обеспечения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нужд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</w:t>
            </w:r>
            <w:r w:rsidR="00E72CD1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должности муниципальной службы Администрации Подосиновского района, Администраций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работников муниципальных учреждений </w:t>
            </w:r>
            <w:r w:rsidR="00E72CD1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постоянно,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 мере поступления обращений граждан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антикоррупционного мировоззрения;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общего уровня правосознания и правовой культуры граждан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возможности сообщения гражданами сведений о фактах совершения коррупционных правонарушений,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наполнения подразделов, посвященных вопросам противодействия коррупции, официальных сайтов органов местного самоуправления информацией в соответствии с требованиями </w:t>
            </w:r>
            <w:hyperlink r:id="rId8" w:history="1">
              <w:r w:rsidRPr="00742DF3">
                <w:rPr>
                  <w:rFonts w:eastAsiaTheme="minorHAnsi" w:cs="Times New Roman"/>
                  <w:kern w:val="0"/>
                  <w:lang w:eastAsia="en-US" w:bidi="ar-SA"/>
                </w:rPr>
                <w:t>приказа</w:t>
              </w:r>
            </w:hyperlink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Мониторинг информации о фактах коррупции в органах местного самоуправления и муниципальных учреждениях, опубликованной в средствах массовой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проведение мероприятий, приуроченных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IV квартал 2023 года, IV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количество мероприятий, приуроченных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Международному дню борьбы с коррупцией (9 декабря), - не менее 1 мероприятия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формирование в обществе нетерпимого отношения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коррупционным проявлениям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качества и доступности предоставления гражданам муниципальных услуг, прозрачности деятельности органов местного самоуправления;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6" w:rsidRDefault="00235DE6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235DE6" w:rsidRP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</w:p>
          <w:p w:rsid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</w:p>
          <w:p w:rsidR="004C1D8D" w:rsidRP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  <w:r>
              <w:rPr>
                <w:rFonts w:eastAsiaTheme="minorHAnsi" w:cs="Times New Roman"/>
                <w:lang w:eastAsia="en-US" w:bidi="ar-SA"/>
              </w:rPr>
              <w:t>Нет этого п.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</w:t>
            </w:r>
            <w:r w:rsidRPr="00742DF3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органа местного самоуправления и получателя бюджетных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Администрации района, ответственные лица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Осуществление </w:t>
            </w:r>
            <w:proofErr w:type="gram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контроля за</w:t>
            </w:r>
            <w:proofErr w:type="gram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Отдел по управлению муниципальным имуществом и земельными ресурсами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фактов нецелевого использования объектов муниципальной собственности;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4C1D8D" w:rsidRPr="004C1D8D" w:rsidRDefault="004C1D8D" w:rsidP="004C1D8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917E40" w:rsidRPr="00917E40" w:rsidRDefault="00917E40" w:rsidP="00BB6B57">
      <w:pPr>
        <w:jc w:val="center"/>
        <w:rPr>
          <w:rFonts w:cs="Times New Roman"/>
          <w:sz w:val="22"/>
          <w:szCs w:val="22"/>
        </w:rPr>
      </w:pPr>
      <w:r w:rsidRPr="00917E4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17E40" w:rsidRPr="00917E40" w:rsidRDefault="00917E40" w:rsidP="00917E40">
      <w:pPr>
        <w:jc w:val="center"/>
        <w:rPr>
          <w:rFonts w:cs="Times New Roman"/>
          <w:sz w:val="22"/>
          <w:szCs w:val="22"/>
        </w:rPr>
      </w:pPr>
    </w:p>
    <w:sectPr w:rsidR="00917E40" w:rsidRPr="00917E40" w:rsidSect="004C1D8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44A"/>
    <w:multiLevelType w:val="hybridMultilevel"/>
    <w:tmpl w:val="1E32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B7646"/>
    <w:multiLevelType w:val="multilevel"/>
    <w:tmpl w:val="49BC3D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7A107F2D"/>
    <w:multiLevelType w:val="multilevel"/>
    <w:tmpl w:val="24F6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3"/>
    <w:rsid w:val="00050962"/>
    <w:rsid w:val="000723BA"/>
    <w:rsid w:val="000C0046"/>
    <w:rsid w:val="000C5CF3"/>
    <w:rsid w:val="000E2F3F"/>
    <w:rsid w:val="0010522B"/>
    <w:rsid w:val="00134ED4"/>
    <w:rsid w:val="00150492"/>
    <w:rsid w:val="0019505E"/>
    <w:rsid w:val="0021198F"/>
    <w:rsid w:val="002155D7"/>
    <w:rsid w:val="00235D65"/>
    <w:rsid w:val="00235DE6"/>
    <w:rsid w:val="00277CC1"/>
    <w:rsid w:val="00307CBE"/>
    <w:rsid w:val="003137FA"/>
    <w:rsid w:val="00383F60"/>
    <w:rsid w:val="00396F7B"/>
    <w:rsid w:val="004C1D8D"/>
    <w:rsid w:val="004C316A"/>
    <w:rsid w:val="005441FF"/>
    <w:rsid w:val="00615FA2"/>
    <w:rsid w:val="00617DF5"/>
    <w:rsid w:val="00692683"/>
    <w:rsid w:val="006F25F4"/>
    <w:rsid w:val="006F66BF"/>
    <w:rsid w:val="0070049C"/>
    <w:rsid w:val="007313EB"/>
    <w:rsid w:val="00742DF3"/>
    <w:rsid w:val="00760AC3"/>
    <w:rsid w:val="007B0D3F"/>
    <w:rsid w:val="00821C09"/>
    <w:rsid w:val="00824AEA"/>
    <w:rsid w:val="008F4C17"/>
    <w:rsid w:val="009046C8"/>
    <w:rsid w:val="00917E40"/>
    <w:rsid w:val="0093088B"/>
    <w:rsid w:val="00946C20"/>
    <w:rsid w:val="00A044F4"/>
    <w:rsid w:val="00A3584D"/>
    <w:rsid w:val="00A73F2B"/>
    <w:rsid w:val="00A774AC"/>
    <w:rsid w:val="00AA19DB"/>
    <w:rsid w:val="00AB7D42"/>
    <w:rsid w:val="00B56098"/>
    <w:rsid w:val="00B927F5"/>
    <w:rsid w:val="00BB6B57"/>
    <w:rsid w:val="00BC15A8"/>
    <w:rsid w:val="00D23B6E"/>
    <w:rsid w:val="00DE0B01"/>
    <w:rsid w:val="00DE11B6"/>
    <w:rsid w:val="00E21AE0"/>
    <w:rsid w:val="00E72CD1"/>
    <w:rsid w:val="00F137D2"/>
    <w:rsid w:val="00F22599"/>
    <w:rsid w:val="00FA11FD"/>
    <w:rsid w:val="00FA3001"/>
    <w:rsid w:val="00FC2433"/>
    <w:rsid w:val="00FD417E"/>
    <w:rsid w:val="00FE60B5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F3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4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7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F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rsid w:val="00FC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F3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4C1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7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F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rsid w:val="00FC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23EE1582762252913F1EB8EFC1C3167C4A7D98228333C21B7A35382263BF27AA4B8F788AFD3D85463071206F7q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623EE1582762252913F1EB8EFC1C3160C0ABDE8D23333C21B7A35382263BF268A4E0F388A3998919280812036004AE61FA372CF6q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D7A49BA34FD736816FB6541DBE3387FFE7B9838EAA83CB0B02C67772ACDD68914BC3F4BF5875F6DC2B89F4EF811A8D513997380EC4401AE3q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22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КолесниковаНВ</cp:lastModifiedBy>
  <cp:revision>11</cp:revision>
  <cp:lastPrinted>2024-01-11T13:37:00Z</cp:lastPrinted>
  <dcterms:created xsi:type="dcterms:W3CDTF">2023-12-27T08:20:00Z</dcterms:created>
  <dcterms:modified xsi:type="dcterms:W3CDTF">2024-01-12T07:03:00Z</dcterms:modified>
</cp:coreProperties>
</file>