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18" w:rsidRDefault="001E5419" w:rsidP="005E1B18">
      <w:pPr>
        <w:pStyle w:val="a9"/>
        <w:tabs>
          <w:tab w:val="left" w:pos="4820"/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5419">
        <w:rPr>
          <w:rFonts w:ascii="Times New Roman" w:hAnsi="Times New Roman" w:cs="Times New Roman"/>
          <w:b/>
          <w:sz w:val="28"/>
          <w:szCs w:val="28"/>
        </w:rPr>
        <w:t xml:space="preserve">Трудовые права несовершеннолетних работников </w:t>
      </w:r>
    </w:p>
    <w:p w:rsidR="001E5419" w:rsidRPr="001E5419" w:rsidRDefault="001E5419" w:rsidP="005E1B18">
      <w:pPr>
        <w:pStyle w:val="a9"/>
        <w:tabs>
          <w:tab w:val="left" w:pos="4820"/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D16" w:rsidRDefault="001E5419" w:rsidP="00F25D16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491B8CA" wp14:editId="556ADDE5">
            <wp:extent cx="5940425" cy="40843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D16" w:rsidRDefault="00F25D16" w:rsidP="00F25D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25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419" w:rsidRDefault="001E5419" w:rsidP="001E5419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2FB29" wp14:editId="355A55F9">
                <wp:simplePos x="0" y="0"/>
                <wp:positionH relativeFrom="column">
                  <wp:posOffset>-339090</wp:posOffset>
                </wp:positionH>
                <wp:positionV relativeFrom="paragraph">
                  <wp:posOffset>944880</wp:posOffset>
                </wp:positionV>
                <wp:extent cx="3495675" cy="11334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5419" w:rsidRPr="007F6E5B" w:rsidRDefault="001E5419" w:rsidP="001E54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F6E5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ТРУДОВЫЕ ПРАВА НЕСОВЕРШЕННОЛЕТНИХ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2FB2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6.7pt;margin-top:74.4pt;width:275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" filled="f" stroked="f">
                <v:textbox>
                  <w:txbxContent>
                    <w:p w:rsidR="001E5419" w:rsidRPr="007F6E5B" w:rsidRDefault="001E5419" w:rsidP="001E54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F6E5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ТРУДОВЫЕ ПРАВА НЕСОВЕРШЕННОЛЕТНИХ РАБОТНИКОВ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5A0F185" wp14:editId="6A5E60C4">
            <wp:extent cx="1758075" cy="857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084" cy="86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419" w:rsidRDefault="001E5419" w:rsidP="001E5419">
      <w:pPr>
        <w:jc w:val="center"/>
      </w:pPr>
    </w:p>
    <w:p w:rsidR="001E5419" w:rsidRDefault="001E5419" w:rsidP="001E5419">
      <w:pPr>
        <w:jc w:val="center"/>
      </w:pPr>
    </w:p>
    <w:p w:rsidR="001E5419" w:rsidRDefault="001E5419" w:rsidP="001E5419">
      <w:pPr>
        <w:jc w:val="center"/>
      </w:pPr>
    </w:p>
    <w:p w:rsidR="001E5419" w:rsidRDefault="001E5419" w:rsidP="001E5419">
      <w:pPr>
        <w:ind w:hanging="284"/>
        <w:jc w:val="center"/>
      </w:pPr>
      <w:r>
        <w:rPr>
          <w:noProof/>
          <w:lang w:eastAsia="ru-RU"/>
        </w:rPr>
        <w:drawing>
          <wp:inline distT="0" distB="0" distL="0" distR="0" wp14:anchorId="41B33D28" wp14:editId="143E0E56">
            <wp:extent cx="3133725" cy="2348653"/>
            <wp:effectExtent l="0" t="0" r="0" b="0"/>
            <wp:docPr id="2" name="Рисунок 2" descr="https://img2.freepng.ru/20190224/zca/kisspng-vector-graphics-pediatrics-image-physician-health-under-construction-gallivan-5c722cbbb55e38.5832151915509864277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90224/zca/kisspng-vector-graphics-pediatrics-image-physician-health-under-construction-gallivan-5c722cbbb55e38.5832151915509864277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419" w:rsidRDefault="001E5419" w:rsidP="001E5419">
      <w:pPr>
        <w:spacing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12483">
        <w:rPr>
          <w:rFonts w:ascii="Times New Roman" w:hAnsi="Times New Roman" w:cs="Times New Roman"/>
          <w:b/>
          <w:color w:val="C00000"/>
          <w:sz w:val="28"/>
          <w:szCs w:val="28"/>
        </w:rPr>
        <w:t>Ответственность за нарушение работодателем требований охраны труда установлена ч.1 ст.5.27.1 КоАП</w:t>
      </w:r>
    </w:p>
    <w:p w:rsidR="001E5419" w:rsidRPr="004D112E" w:rsidRDefault="001E5419" w:rsidP="001E5419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  <w:t xml:space="preserve">должностные лица </w:t>
      </w:r>
      <w:r w:rsidRPr="004D112E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  <w:noBreakHyphen/>
        <w:t xml:space="preserve"> </w:t>
      </w:r>
      <w:r w:rsidRPr="004D112E">
        <w:rPr>
          <w:rFonts w:ascii="Times New Roman" w:hAnsi="Times New Roman" w:cs="Times New Roman"/>
          <w:bCs/>
          <w:color w:val="323E4F" w:themeColor="text2" w:themeShade="BF"/>
          <w:sz w:val="28"/>
          <w:szCs w:val="28"/>
        </w:rPr>
        <w:t>предупреждение или штраф в размере от 2000 до 5000 рублей;</w:t>
      </w:r>
      <w:r w:rsidRPr="004D112E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  <w:t xml:space="preserve"> </w:t>
      </w:r>
    </w:p>
    <w:p w:rsidR="001E5419" w:rsidRPr="004D112E" w:rsidRDefault="001E5419" w:rsidP="001E5419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  <w:t xml:space="preserve">ИП - </w:t>
      </w:r>
      <w:r w:rsidRPr="004D112E">
        <w:rPr>
          <w:rFonts w:ascii="Times New Roman" w:hAnsi="Times New Roman" w:cs="Times New Roman"/>
          <w:bCs/>
          <w:color w:val="323E4F" w:themeColor="text2" w:themeShade="BF"/>
          <w:sz w:val="28"/>
          <w:szCs w:val="28"/>
        </w:rPr>
        <w:t xml:space="preserve">предупреждение или штраф </w:t>
      </w:r>
      <w:r w:rsidRPr="004D112E">
        <w:rPr>
          <w:rFonts w:ascii="Times New Roman" w:hAnsi="Times New Roman" w:cs="Times New Roman"/>
          <w:bCs/>
          <w:color w:val="323E4F" w:themeColor="text2" w:themeShade="BF"/>
          <w:sz w:val="28"/>
          <w:szCs w:val="28"/>
        </w:rPr>
        <w:br/>
        <w:t>от 2000 до 5000 рублей;</w:t>
      </w:r>
      <w:r w:rsidRPr="004D112E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  <w:t xml:space="preserve"> </w:t>
      </w:r>
    </w:p>
    <w:p w:rsidR="001E5419" w:rsidRPr="004D112E" w:rsidRDefault="001E5419" w:rsidP="001E5419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  <w:t xml:space="preserve">юридические лица - </w:t>
      </w:r>
      <w:r w:rsidRPr="004D112E">
        <w:rPr>
          <w:rFonts w:ascii="Times New Roman" w:hAnsi="Times New Roman" w:cs="Times New Roman"/>
          <w:bCs/>
          <w:color w:val="323E4F" w:themeColor="text2" w:themeShade="BF"/>
          <w:sz w:val="28"/>
          <w:szCs w:val="28"/>
        </w:rPr>
        <w:t>предупреждение или штраф от 50 000 до 80 000 рублей.</w:t>
      </w:r>
    </w:p>
    <w:p w:rsidR="001E5419" w:rsidRDefault="001E5419" w:rsidP="001E5419">
      <w:pPr>
        <w:ind w:left="-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E5419" w:rsidRPr="00686FD0" w:rsidRDefault="001E5419" w:rsidP="001E5419">
      <w:pPr>
        <w:ind w:left="-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86F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Режим труда и отдыха</w:t>
      </w:r>
    </w:p>
    <w:p w:rsidR="001E5419" w:rsidRPr="004D112E" w:rsidRDefault="001E5419" w:rsidP="001E5419">
      <w:pPr>
        <w:spacing w:line="240" w:lineRule="auto"/>
        <w:ind w:firstLine="539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В соответствии со статьей 94 ТК РФ продолжительность ежедневной работы (смены) не может превышать:</w:t>
      </w:r>
    </w:p>
    <w:p w:rsidR="001E5419" w:rsidRPr="004D112E" w:rsidRDefault="001E5419" w:rsidP="001E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 xml:space="preserve">- для работников, получающих общее образование или среднее профессиональное образование и работающих в период каникул: </w:t>
      </w:r>
    </w:p>
    <w:p w:rsidR="001E5419" w:rsidRPr="004D112E" w:rsidRDefault="001E5419" w:rsidP="001E541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в возрасте от 14 до 15 лет </w:t>
      </w: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noBreakHyphen/>
        <w:t xml:space="preserve"> 4 часа;</w:t>
      </w:r>
    </w:p>
    <w:p w:rsidR="001E5419" w:rsidRPr="004D112E" w:rsidRDefault="001E5419" w:rsidP="001E541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в возрасте от 15 до 16 лет </w:t>
      </w: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noBreakHyphen/>
        <w:t xml:space="preserve"> 5 часов;</w:t>
      </w:r>
    </w:p>
    <w:p w:rsidR="001E5419" w:rsidRPr="004D112E" w:rsidRDefault="001E5419" w:rsidP="001E541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в возрасте от 16 до 18 лет </w:t>
      </w: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noBreakHyphen/>
        <w:t xml:space="preserve"> 7 часов.</w:t>
      </w:r>
    </w:p>
    <w:p w:rsidR="001E5419" w:rsidRPr="004D112E" w:rsidRDefault="001E5419" w:rsidP="001E5419">
      <w:pPr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>- для работников, получающих общее образование или среднее профессиональное образование и совмещающих в течение учебного года получение образования с работой</w:t>
      </w:r>
      <w:r w:rsidRPr="004D112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:</w:t>
      </w:r>
    </w:p>
    <w:p w:rsidR="001E5419" w:rsidRPr="004D112E" w:rsidRDefault="001E5419" w:rsidP="001E541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в возрасте от 14 до 16 лет – 2,5 часа;</w:t>
      </w:r>
    </w:p>
    <w:p w:rsidR="001E5419" w:rsidRPr="004D112E" w:rsidRDefault="001E5419" w:rsidP="001E541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в возрасте от 16 до 18 лет </w:t>
      </w: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noBreakHyphen/>
        <w:t xml:space="preserve"> 4 часа.</w:t>
      </w:r>
    </w:p>
    <w:p w:rsidR="001E5419" w:rsidRPr="004D112E" w:rsidRDefault="001E5419" w:rsidP="001E5419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lastRenderedPageBreak/>
        <w:t>Нормы выработки для несовершеннолетних работников устанавливаются исходя из общих норм выработки пропорционально установленной для этих работников сокращенной продолжительности рабочего времени (ч. 1 ст. 270 ТК РФ).</w:t>
      </w:r>
    </w:p>
    <w:p w:rsidR="001E5419" w:rsidRPr="004D112E" w:rsidRDefault="001E5419" w:rsidP="001E5419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На основании статьи 267 ТК РФ </w:t>
      </w:r>
      <w:r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подросткам </w:t>
      </w: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предоставляется отпуск продолжительностью 31 календарный день.</w:t>
      </w:r>
    </w:p>
    <w:p w:rsidR="001E5419" w:rsidRDefault="001E5419" w:rsidP="001E541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E5419" w:rsidRDefault="001E5419" w:rsidP="001E541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E5419" w:rsidRPr="00686FD0" w:rsidRDefault="001E5419" w:rsidP="001E541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86FD0">
        <w:rPr>
          <w:rFonts w:ascii="Times New Roman" w:hAnsi="Times New Roman" w:cs="Times New Roman"/>
          <w:b/>
          <w:color w:val="C00000"/>
          <w:sz w:val="28"/>
          <w:szCs w:val="28"/>
        </w:rPr>
        <w:t>2. Условия труда</w:t>
      </w:r>
    </w:p>
    <w:p w:rsidR="001E5419" w:rsidRPr="004D112E" w:rsidRDefault="001E5419" w:rsidP="001E5419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Согласно ч. 1 статьи 265 ТК РФ применение труда подростков запрещается: </w:t>
      </w:r>
    </w:p>
    <w:p w:rsidR="001E5419" w:rsidRPr="004D112E" w:rsidRDefault="001E5419" w:rsidP="001E5419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на работах с вредными и (или) опасными условиями труда, </w:t>
      </w:r>
    </w:p>
    <w:p w:rsidR="001E5419" w:rsidRPr="004D112E" w:rsidRDefault="001E5419" w:rsidP="001E5419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на подземных работах, </w:t>
      </w:r>
    </w:p>
    <w:p w:rsidR="001E5419" w:rsidRPr="004D112E" w:rsidRDefault="001E5419" w:rsidP="001E5419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0" w:firstLine="142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на работах, выполнение которых может причинить вред их здоровью </w:t>
      </w: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  <w:t xml:space="preserve">и нравственному развитию: игорный бизнес, работа в ночных кабаре </w:t>
      </w: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  <w:t xml:space="preserve">и клубах, </w:t>
      </w:r>
    </w:p>
    <w:p w:rsidR="001E5419" w:rsidRPr="004D112E" w:rsidRDefault="001E5419" w:rsidP="001E5419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0" w:firstLine="142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на производстве, перевозке </w:t>
      </w: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  <w:t>и торговле спиртными напитками, табачными изделиями, наркотическими и иными токсическими препаратами, материалами эротического содержания.</w:t>
      </w:r>
    </w:p>
    <w:p w:rsidR="001E5419" w:rsidRPr="004D112E" w:rsidRDefault="001E5419" w:rsidP="001E54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Запрещаются переноска и передвижение несовершеннолетними работниками тяжестей, превышающих установленные для них предельные нормы, которые утверждены постановлением Минтруда РФ </w:t>
      </w: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  <w:t>от 07.04.1999 № 7</w:t>
      </w:r>
    </w:p>
    <w:p w:rsidR="001E5419" w:rsidRPr="004D112E" w:rsidRDefault="001E5419" w:rsidP="001E54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Перечень работ, на которых запрещается применение труда работников в возрасте до восемнадцати лет, а также предельные нормы тяжестей утверждены постановлением Правительства РФ от 25.02.2000 № 163.</w:t>
      </w:r>
    </w:p>
    <w:p w:rsidR="001E5419" w:rsidRDefault="001E5419" w:rsidP="005E1B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419" w:rsidRDefault="001E5419" w:rsidP="005E1B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419" w:rsidRDefault="001E5419" w:rsidP="005E1B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419" w:rsidRDefault="001E5419" w:rsidP="005E1B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E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6F7A"/>
    <w:multiLevelType w:val="hybridMultilevel"/>
    <w:tmpl w:val="B918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E06D3"/>
    <w:multiLevelType w:val="hybridMultilevel"/>
    <w:tmpl w:val="2FF4FC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725912F6"/>
    <w:multiLevelType w:val="hybridMultilevel"/>
    <w:tmpl w:val="1CE83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53678"/>
    <w:multiLevelType w:val="hybridMultilevel"/>
    <w:tmpl w:val="9140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E5"/>
    <w:rsid w:val="000304E5"/>
    <w:rsid w:val="001E5419"/>
    <w:rsid w:val="00224D10"/>
    <w:rsid w:val="00236ECF"/>
    <w:rsid w:val="002F21E1"/>
    <w:rsid w:val="00581AC7"/>
    <w:rsid w:val="005967CA"/>
    <w:rsid w:val="005E1B18"/>
    <w:rsid w:val="00880331"/>
    <w:rsid w:val="00E54FBA"/>
    <w:rsid w:val="00E97266"/>
    <w:rsid w:val="00F16385"/>
    <w:rsid w:val="00F2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90EF"/>
  <w15:chartTrackingRefBased/>
  <w15:docId w15:val="{0F3F3154-098C-4BED-94D5-F2AE3333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4E5"/>
    <w:rPr>
      <w:b/>
      <w:bCs/>
    </w:rPr>
  </w:style>
  <w:style w:type="character" w:styleId="a5">
    <w:name w:val="Hyperlink"/>
    <w:basedOn w:val="a0"/>
    <w:uiPriority w:val="99"/>
    <w:semiHidden/>
    <w:unhideWhenUsed/>
    <w:rsid w:val="000304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d5b2fd5e0e9f2detinymce-placeholder">
    <w:name w:val="5d5b2fd5e0e9f2detinymce-placeholder"/>
    <w:basedOn w:val="a0"/>
    <w:rsid w:val="00E97266"/>
  </w:style>
  <w:style w:type="paragraph" w:styleId="a6">
    <w:name w:val="Balloon Text"/>
    <w:basedOn w:val="a"/>
    <w:link w:val="a7"/>
    <w:uiPriority w:val="99"/>
    <w:semiHidden/>
    <w:unhideWhenUsed/>
    <w:rsid w:val="00236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6EC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E1B1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E1B18"/>
    <w:pPr>
      <w:spacing w:after="0" w:line="240" w:lineRule="auto"/>
    </w:pPr>
    <w:rPr>
      <w:rFonts w:eastAsiaTheme="minorEastAsia"/>
      <w:sz w:val="21"/>
      <w:szCs w:val="21"/>
    </w:rPr>
  </w:style>
  <w:style w:type="paragraph" w:styleId="aa">
    <w:name w:val="List Paragraph"/>
    <w:basedOn w:val="a"/>
    <w:uiPriority w:val="34"/>
    <w:qFormat/>
    <w:rsid w:val="005E1B18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Admpodo66</cp:lastModifiedBy>
  <cp:revision>4</cp:revision>
  <cp:lastPrinted>2023-08-08T08:17:00Z</cp:lastPrinted>
  <dcterms:created xsi:type="dcterms:W3CDTF">2023-08-08T08:14:00Z</dcterms:created>
  <dcterms:modified xsi:type="dcterms:W3CDTF">2023-08-11T08:35:00Z</dcterms:modified>
</cp:coreProperties>
</file>