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8" w:rsidRDefault="00AB5494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4"/>
      </w:tblGrid>
      <w:tr w:rsidR="000722A8">
        <w:tc>
          <w:tcPr>
            <w:tcW w:w="9184" w:type="dxa"/>
            <w:shd w:val="clear" w:color="auto" w:fill="auto"/>
          </w:tcPr>
          <w:p w:rsidR="000722A8" w:rsidRDefault="00AB549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t>АДМИНИСТРАЦИЯ ПОДОСИНОВСКОГО РАЙОНА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0"/>
          </w:p>
          <w:p w:rsidR="000722A8" w:rsidRDefault="00AB5494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t>КИРОВСКОЙ ОБЛАСТИ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1"/>
          </w:p>
          <w:p w:rsidR="000722A8" w:rsidRDefault="00AB5494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t>РАСПОРЯЖЕНИЕ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end"/>
            </w:r>
            <w:bookmarkEnd w:id="2"/>
          </w:p>
          <w:p w:rsidR="000722A8" w:rsidRDefault="000722A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722A8" w:rsidRDefault="000722A8">
      <w:pPr>
        <w:widowControl/>
        <w:suppressAutoHyphens w:val="0"/>
        <w:rPr>
          <w:rFonts w:eastAsia="Times New Roman" w:cs="Times New Roman"/>
          <w:vanish/>
          <w:color w:val="000000" w:themeColor="text1"/>
          <w:kern w:val="0"/>
          <w:sz w:val="20"/>
          <w:szCs w:val="20"/>
          <w:lang w:eastAsia="ru-RU" w:bidi="ar-SA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731"/>
        <w:gridCol w:w="2372"/>
        <w:gridCol w:w="709"/>
        <w:gridCol w:w="1383"/>
      </w:tblGrid>
      <w:tr w:rsidR="000722A8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22A8" w:rsidRDefault="00AB5494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23.05.2025</w:t>
            </w:r>
          </w:p>
        </w:tc>
        <w:tc>
          <w:tcPr>
            <w:tcW w:w="2731" w:type="dxa"/>
          </w:tcPr>
          <w:p w:rsidR="000722A8" w:rsidRDefault="000722A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position w:val="-6"/>
                <w:lang w:eastAsia="ru-RU" w:bidi="ar-SA"/>
              </w:rPr>
            </w:pPr>
          </w:p>
        </w:tc>
        <w:tc>
          <w:tcPr>
            <w:tcW w:w="2372" w:type="dxa"/>
          </w:tcPr>
          <w:p w:rsidR="000722A8" w:rsidRDefault="00AB549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6" w:space="0" w:color="auto"/>
            </w:tcBorders>
          </w:tcPr>
          <w:p w:rsidR="000722A8" w:rsidRDefault="00AB549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227</w:t>
            </w:r>
          </w:p>
        </w:tc>
      </w:tr>
      <w:tr w:rsidR="000722A8">
        <w:tc>
          <w:tcPr>
            <w:tcW w:w="9180" w:type="dxa"/>
            <w:gridSpan w:val="6"/>
          </w:tcPr>
          <w:p w:rsidR="000722A8" w:rsidRDefault="00AB5494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пгт Подосиновец </w:t>
            </w:r>
          </w:p>
          <w:p w:rsidR="000722A8" w:rsidRDefault="000722A8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  <w:p w:rsidR="000722A8" w:rsidRDefault="000722A8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722A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8" w:type="dxa"/>
          <w:wAfter w:w="1383" w:type="dxa"/>
          <w:trHeight w:val="1581"/>
        </w:trPr>
        <w:tc>
          <w:tcPr>
            <w:tcW w:w="6379" w:type="dxa"/>
            <w:gridSpan w:val="4"/>
            <w:shd w:val="clear" w:color="auto" w:fill="auto"/>
          </w:tcPr>
          <w:p w:rsidR="000722A8" w:rsidRDefault="00AB5494">
            <w:pPr>
              <w:widowControl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Об утверждении плана мероприятий по противодействию коррупции в Подосиновском районе на 2025 год</w:t>
            </w: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722A8" w:rsidRDefault="000722A8">
            <w:pPr>
              <w:widowControl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0722A8" w:rsidRDefault="00AB5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 Утвердить </w:t>
      </w:r>
      <w:hyperlink w:anchor="Par29" w:history="1">
        <w:r>
          <w:rPr>
            <w:rFonts w:eastAsia="Calibri" w:cs="Times New Roman"/>
            <w:color w:val="000000" w:themeColor="text1"/>
            <w:kern w:val="0"/>
            <w:sz w:val="28"/>
            <w:szCs w:val="28"/>
            <w:lang w:eastAsia="en-US" w:bidi="ar-SA"/>
          </w:rPr>
          <w:t>план</w:t>
        </w:r>
      </w:hyperlink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мероприятий по противодействию коррупции в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Подосиновском районе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на 2025 год (далее - План) согласно приложению.</w:t>
      </w:r>
    </w:p>
    <w:p w:rsidR="000722A8" w:rsidRDefault="00AB5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 Признать утратившим силу Распоряжение Администрации Подосиновского района от 14.03.2025 № </w:t>
      </w:r>
      <w:r w:rsidR="001F08EF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105</w:t>
      </w:r>
      <w:bookmarkStart w:id="3" w:name="_GoBack"/>
      <w:bookmarkEnd w:id="3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«Об утверждении плана мероприятий по противодействию коррупции в Подосиновском районе на 2025 год».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</w:t>
      </w:r>
      <w:proofErr w:type="gramStart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Контроль за</w:t>
      </w:r>
      <w:proofErr w:type="gramEnd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выполнением Плана возложить на заместителя главы Администрации района, заведующего отделом по социальным вопросам и профилактике правонарушений Русинова Л.П.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4. Опубликовать настоящее распоряжение на официальном сайте Администрации Подосиновского района.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5. Действие распоряжения распространяется на </w:t>
      </w:r>
      <w:proofErr w:type="gramStart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правоотношения</w:t>
      </w:r>
      <w:proofErr w:type="gramEnd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возникшие с 01.01.2025 года. </w:t>
      </w:r>
    </w:p>
    <w:p w:rsidR="000722A8" w:rsidRDefault="000722A8">
      <w:pPr>
        <w:rPr>
          <w:color w:val="000000" w:themeColor="text1"/>
        </w:rPr>
      </w:pPr>
    </w:p>
    <w:p w:rsidR="000722A8" w:rsidRPr="00AB5494" w:rsidRDefault="00AB5494">
      <w:pPr>
        <w:rPr>
          <w:color w:val="000000" w:themeColor="text1"/>
          <w:sz w:val="28"/>
          <w:szCs w:val="28"/>
        </w:rPr>
      </w:pPr>
      <w:r w:rsidRPr="00AB5494">
        <w:rPr>
          <w:color w:val="000000" w:themeColor="text1"/>
          <w:sz w:val="28"/>
          <w:szCs w:val="28"/>
        </w:rPr>
        <w:t>Глава Подосиновского района                Д.В. Копосов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722A8" w:rsidTr="00AB5494">
        <w:tc>
          <w:tcPr>
            <w:tcW w:w="4785" w:type="dxa"/>
          </w:tcPr>
          <w:p w:rsidR="000722A8" w:rsidRPr="00AB5494" w:rsidRDefault="00AB5494" w:rsidP="00AB5494">
            <w:r>
              <w:t xml:space="preserve"> </w:t>
            </w:r>
          </w:p>
        </w:tc>
        <w:tc>
          <w:tcPr>
            <w:tcW w:w="4785" w:type="dxa"/>
          </w:tcPr>
          <w:p w:rsidR="00AB5494" w:rsidRPr="00AB5494" w:rsidRDefault="00AB5494" w:rsidP="00AB5494"/>
        </w:tc>
      </w:tr>
      <w:tr w:rsidR="000722A8" w:rsidTr="00AB5494">
        <w:tc>
          <w:tcPr>
            <w:tcW w:w="4785" w:type="dxa"/>
          </w:tcPr>
          <w:p w:rsidR="000722A8" w:rsidRPr="00AB5494" w:rsidRDefault="000722A8" w:rsidP="00AB5494"/>
        </w:tc>
        <w:tc>
          <w:tcPr>
            <w:tcW w:w="4785" w:type="dxa"/>
          </w:tcPr>
          <w:p w:rsidR="000722A8" w:rsidRPr="00AB5494" w:rsidRDefault="000722A8" w:rsidP="00AB5494"/>
        </w:tc>
      </w:tr>
      <w:tr w:rsidR="000722A8" w:rsidTr="00AB5494">
        <w:tc>
          <w:tcPr>
            <w:tcW w:w="4785" w:type="dxa"/>
          </w:tcPr>
          <w:p w:rsidR="000722A8" w:rsidRDefault="00AB5494" w:rsidP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722A8" w:rsidRDefault="000722A8">
            <w:pPr>
              <w:rPr>
                <w:sz w:val="28"/>
                <w:szCs w:val="28"/>
              </w:rPr>
            </w:pPr>
          </w:p>
        </w:tc>
      </w:tr>
      <w:tr w:rsidR="000722A8" w:rsidTr="00AB5494">
        <w:tc>
          <w:tcPr>
            <w:tcW w:w="4785" w:type="dxa"/>
          </w:tcPr>
          <w:p w:rsidR="000722A8" w:rsidRDefault="00AB5494" w:rsidP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722A8" w:rsidRDefault="00AB5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722A8" w:rsidTr="00AB5494">
        <w:tc>
          <w:tcPr>
            <w:tcW w:w="4785" w:type="dxa"/>
          </w:tcPr>
          <w:p w:rsidR="000722A8" w:rsidRDefault="000722A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722A8" w:rsidRDefault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22A8" w:rsidRDefault="00AB5494">
      <w:pPr>
        <w:rPr>
          <w:color w:val="000000" w:themeColor="text1"/>
        </w:rPr>
        <w:sectPr w:rsidR="000722A8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0722A8" w:rsidRDefault="000722A8">
      <w:pPr>
        <w:rPr>
          <w:rFonts w:cs="Times New Roman"/>
          <w:color w:val="000000" w:themeColor="text1"/>
        </w:rPr>
      </w:pPr>
    </w:p>
    <w:tbl>
      <w:tblPr>
        <w:tblStyle w:val="a5"/>
        <w:tblW w:w="425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722A8">
        <w:tc>
          <w:tcPr>
            <w:tcW w:w="4253" w:type="dxa"/>
          </w:tcPr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Приложение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УТВЕРЖДЕНО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Распоряжением Администрации Подосиновского района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от 23.05.2025  №  227</w:t>
            </w:r>
          </w:p>
        </w:tc>
      </w:tr>
    </w:tbl>
    <w:p w:rsidR="000722A8" w:rsidRDefault="000722A8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</w:pPr>
    </w:p>
    <w:p w:rsidR="000722A8" w:rsidRDefault="00AB5494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  <w:t>ПЛАН</w:t>
      </w:r>
    </w:p>
    <w:p w:rsidR="000722A8" w:rsidRDefault="00AB549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  <w:t>МЕРОПРИЯТИЙ ПО ПРОТИВОДЕЙСТВИЮ КОРРУПЦИИ В ПОДОСИНОВСКОМ РАЙОНЕ НА 2025 ГОД</w:t>
      </w:r>
    </w:p>
    <w:p w:rsidR="000722A8" w:rsidRDefault="000722A8">
      <w:pPr>
        <w:widowControl/>
        <w:suppressAutoHyphens w:val="0"/>
        <w:spacing w:after="200" w:line="276" w:lineRule="auto"/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142"/>
        <w:gridCol w:w="1700"/>
        <w:gridCol w:w="1701"/>
        <w:gridCol w:w="2977"/>
        <w:gridCol w:w="3686"/>
      </w:tblGrid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N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Показатель, индикатор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Ожидаемый результат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color w:val="000000" w:themeColor="text1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Глава Подосиновского района, Главы городских и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30 мая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2025 года,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8" w:rsidRDefault="000722A8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color w:val="000000" w:themeColor="text1"/>
              </w:rPr>
              <w:t xml:space="preserve">наличие </w:t>
            </w:r>
            <w:r>
              <w:rPr>
                <w:rFonts w:eastAsiaTheme="minorHAnsi"/>
                <w:color w:val="000000" w:themeColor="text1"/>
              </w:rPr>
              <w:t xml:space="preserve">в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Администрации Подосиновского района, Администрации городских и сельских поселений, </w:t>
            </w:r>
            <w:r>
              <w:rPr>
                <w:color w:val="000000" w:themeColor="text1"/>
              </w:rPr>
              <w:t>утвержденного плана (программы) по противодействию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Глава Подосиновского района, Главы городских и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организации работы по профилактике коррупционных и иных правонарушений Администрации Подосиновского района, Администрации городских и сельских поселений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Мониторинг изменений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антикоррупционного законодательства Российской Федерации и Кировской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Управление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своевременное внесение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Заместители главы Администрации Подосиновского района (по курируемым отраслям),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оценка состояния антикоррупционной работы, проводимой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</w:t>
            </w:r>
            <w:proofErr w:type="gramEnd"/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муниципальных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учреждениях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Подосиновского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соблюдения руководителями муниципальных учреждений Подосиновского района законодательства о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>
              <w:rPr>
                <w:rFonts w:eastAsiaTheme="minorHAnsi"/>
                <w:iCs/>
                <w:color w:val="000000" w:themeColor="text1"/>
              </w:rPr>
              <w:t>в органах местного самоуправления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 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0722A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наличие в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Администрации Подосиновского района, Администрации городских и сельских поселений </w:t>
            </w:r>
            <w:r>
              <w:rPr>
                <w:rFonts w:eastAsiaTheme="minorHAnsi"/>
                <w:color w:val="000000" w:themeColor="text1"/>
              </w:rPr>
              <w:t xml:space="preserve">заполненной </w:t>
            </w:r>
            <w:proofErr w:type="gramStart"/>
            <w:r>
              <w:rPr>
                <w:rFonts w:eastAsiaTheme="minorHAnsi"/>
                <w:color w:val="000000" w:themeColor="text1"/>
              </w:rPr>
              <w:t xml:space="preserve">формы </w:t>
            </w:r>
            <w:hyperlink r:id="rId8" w:history="1">
              <w:r>
                <w:rPr>
                  <w:rFonts w:eastAsiaTheme="minorHAnsi"/>
                  <w:color w:val="000000" w:themeColor="text1"/>
                </w:rPr>
                <w:t>критериев</w:t>
              </w:r>
            </w:hyperlink>
            <w:r>
              <w:rPr>
                <w:rFonts w:eastAsiaTheme="minorHAnsi"/>
                <w:color w:val="000000" w:themeColor="text1"/>
              </w:rPr>
              <w:t xml:space="preserve"> оценки эффективности деятельности</w:t>
            </w:r>
            <w:proofErr w:type="gramEnd"/>
            <w:r>
              <w:rPr>
                <w:rFonts w:eastAsiaTheme="minorHAnsi"/>
                <w:color w:val="000000" w:themeColor="text1"/>
              </w:rPr>
              <w:t xml:space="preserve">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Повышение </w:t>
            </w:r>
            <w:proofErr w:type="gramStart"/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 интересов, обеспечение соблюдения лицами, замещающими муниципальные должности,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Председатель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ind w:left="58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9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повышение эффективности </w:t>
            </w:r>
            <w:proofErr w:type="gramStart"/>
            <w:r>
              <w:rPr>
                <w:rFonts w:eastAsiaTheme="minorHAnsi"/>
                <w:color w:val="000000" w:themeColor="text1"/>
              </w:rPr>
              <w:t>контроля за</w:t>
            </w:r>
            <w:proofErr w:type="gramEnd"/>
            <w:r>
              <w:rPr>
                <w:rFonts w:eastAsiaTheme="minorHAnsi"/>
                <w:color w:val="000000" w:themeColor="text1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</w:rPr>
              <w:t xml:space="preserve">Проведение анализа сведений, </w:t>
            </w:r>
            <w:r>
              <w:rPr>
                <w:rFonts w:cs="Times New Roman"/>
              </w:rPr>
              <w:lastRenderedPageBreak/>
              <w:t>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Управление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при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отношение количества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обеспечение своевременного и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подведомственных Администрации Подосиновского района, Администрациям поселений, сведений, установленных законодательством Российской Федерации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проведения оценки коррупционных рисков, возникающих при реализации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делами, Управление образования, отдел культуры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поселений; руководители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ежегодно, до 30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обязанных представлять такие сведения,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руководителей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ежегодно, до 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полноты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проведенных проверок достоверности и полноты сведений, представляемых лицами, замещающими муниципальные должности, должности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соблюдения лицами, замещающими муниципальные должности,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мониторинга соблюдения гражданами, претендующими на замещение должностей руководителей государственных (муниципальных) учреждений, и лицами, замещающими данные должности,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обращениях к ним каких-либо лиц в целях склонения к совершению коррупционных правонарушений, принимать меры по предотвращению и урегулированию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предупреждение нарушений законодательства о противодействии коррупции лицами, замещающими муниципальные должности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Проведение мониторинга участия гражданами, претендующими на замещение должностей руководителей государственных (муниципальных) учреждений, и лицами, замещающими данные должности, в управлении коммерческими и некоммерческими организациями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лиц, замещающих муниципальные должности,  по которым проведен мониторинг участия в управлении коммерческими и некоммерческими организациями, к общему количеству лиц, муниципальные должности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конфликтов интересов, связанных с участием лиц, замещающих муниципальные должности, должности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Глава Подосиновского района, Главы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Проведение мониторинга соблюдения гражданами, претендующими на замещение должностей руководителей государственных (муниципальных) учреждений, и лицами, замещающими данные должности,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случаев несоблюдения лицами, замещающими муниципальные должности, установленного порядка сообщения о получении подарка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Главы администраций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не позднее одного года со дня поступления на службу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приема от граждан, претендующих на замещение должностей руководителей государственных (муниципальных) учреждений, и лиц, замещающих данные должности,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Администрация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представивших сведения о близких родственниках, а также их аффилированности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обеспечение своевременного исполнения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обязанности по представлению сведений о близких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родственниках, а также их аффилированности коммерческим организациям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ind w:left="7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Представление сведений о ходе реализации мер по противодействию коррупции в </w:t>
            </w:r>
            <w:r>
              <w:rPr>
                <w:rFonts w:eastAsiaTheme="minorHAnsi"/>
                <w:iCs/>
                <w:color w:val="000000" w:themeColor="text1"/>
              </w:rPr>
              <w:t xml:space="preserve">Подосиновском районе </w:t>
            </w:r>
            <w:r>
              <w:rPr>
                <w:rFonts w:eastAsiaTheme="minorHAnsi"/>
                <w:color w:val="000000" w:themeColor="text1"/>
              </w:rPr>
              <w:t>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января,</w:t>
            </w:r>
          </w:p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апреля,</w:t>
            </w:r>
          </w:p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июля,</w:t>
            </w:r>
          </w:p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количество представленных </w:t>
            </w:r>
            <w:r>
              <w:rPr>
                <w:rFonts w:eastAsiaTheme="minorHAnsi"/>
                <w:iCs/>
                <w:color w:val="000000" w:themeColor="text1"/>
              </w:rPr>
              <w:t xml:space="preserve">Администрацией Подосиновского района </w:t>
            </w:r>
            <w:r>
              <w:rPr>
                <w:rFonts w:eastAsiaTheme="minorHAnsi"/>
                <w:color w:val="000000" w:themeColor="text1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гражданами, претендующих на замещение должностей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руководителей государственных (муниципальных) учреждений, и лицами, замещающих данные должности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ответственные лица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сведений о близких родственниках, а также их аффилированности коммерческим организациям, в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lang w:eastAsia="en-US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ind w:left="58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/>
                <w:color w:val="000000" w:themeColor="text1"/>
              </w:rPr>
              <w:t xml:space="preserve">Проведение совещания по вопросу разъяснения порядка проведения </w:t>
            </w:r>
            <w:r>
              <w:rPr>
                <w:rFonts w:eastAsiaTheme="minorHAnsi"/>
                <w:color w:val="000000" w:themeColor="text1"/>
              </w:rPr>
              <w:lastRenderedPageBreak/>
              <w:t>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>
              <w:rPr>
                <w:rFonts w:eastAsiaTheme="minorHAnsi"/>
                <w:color w:val="000000" w:themeColor="text1"/>
              </w:rPr>
              <w:t xml:space="preserve"> </w:t>
            </w:r>
            <w:proofErr w:type="gramStart"/>
            <w:r>
              <w:rPr>
                <w:rFonts w:eastAsiaTheme="minorHAnsi"/>
                <w:color w:val="000000" w:themeColor="text1"/>
              </w:rPr>
              <w:t>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делами </w:t>
            </w:r>
            <w:r>
              <w:rPr>
                <w:lang w:eastAsia="en-US"/>
              </w:rPr>
              <w:lastRenderedPageBreak/>
              <w:t>Администрации района;</w:t>
            </w:r>
          </w:p>
          <w:p w:rsidR="000722A8" w:rsidRDefault="00AB549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количество совещаний или иных мероприятий по </w:t>
            </w:r>
            <w:r>
              <w:rPr>
                <w:rFonts w:eastAsiaTheme="minorHAnsi"/>
                <w:color w:val="000000" w:themeColor="text1"/>
              </w:rPr>
              <w:lastRenderedPageBreak/>
              <w:t>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/>
                <w:color w:val="000000" w:themeColor="text1"/>
              </w:rPr>
              <w:lastRenderedPageBreak/>
              <w:t xml:space="preserve">информирование лиц, замещающих муниципальные </w:t>
            </w:r>
            <w:r>
              <w:rPr>
                <w:rFonts w:eastAsiaTheme="minorHAnsi"/>
                <w:color w:val="000000" w:themeColor="text1"/>
              </w:rPr>
              <w:lastRenderedPageBreak/>
              <w:t xml:space="preserve">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>
              <w:rPr>
                <w:color w:val="000000" w:themeColor="text1"/>
              </w:rPr>
              <w:t xml:space="preserve">сведений о доходах, расходах, об имуществе и обязательствах имущественного характера, о </w:t>
            </w:r>
            <w:r>
              <w:rPr>
                <w:rFonts w:eastAsiaTheme="minorHAnsi"/>
                <w:color w:val="000000" w:themeColor="text1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</w:t>
            </w:r>
            <w:proofErr w:type="gramEnd"/>
            <w:r>
              <w:rPr>
                <w:rFonts w:eastAsiaTheme="minorHAnsi"/>
                <w:color w:val="000000" w:themeColor="text1"/>
              </w:rPr>
              <w:t xml:space="preserve">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ind w:left="70"/>
              <w:rPr>
                <w:color w:val="000000" w:themeColor="text1"/>
              </w:rPr>
            </w:pPr>
            <w:proofErr w:type="gramStart"/>
            <w:r>
              <w:t xml:space="preserve">Проведение для муниципальных </w:t>
            </w:r>
            <w:r>
              <w:lastRenderedPageBreak/>
              <w:t>служащих, руководителей муниципальных учреждений Подосиновского района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</w:t>
            </w:r>
            <w:proofErr w:type="gramEnd"/>
            <w:r>
              <w:t xml:space="preserve">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</w:t>
            </w:r>
            <w:r>
              <w:rPr>
                <w:lang w:eastAsia="en-US"/>
              </w:rPr>
              <w:lastRenderedPageBreak/>
              <w:t>делами Администрации района;</w:t>
            </w:r>
          </w:p>
          <w:p w:rsidR="000722A8" w:rsidRDefault="00AB549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февраля, </w:t>
            </w:r>
          </w:p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proofErr w:type="gramStart"/>
            <w:r>
              <w:rPr>
                <w:rFonts w:eastAsiaTheme="minorHAnsi"/>
              </w:rPr>
              <w:lastRenderedPageBreak/>
              <w:t xml:space="preserve">количество приуроченных </w:t>
            </w:r>
            <w:r>
              <w:rPr>
                <w:rFonts w:eastAsiaTheme="minorHAnsi"/>
              </w:rPr>
              <w:lastRenderedPageBreak/>
              <w:t xml:space="preserve">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>
              <w:rPr>
                <w:rFonts w:eastAsiaTheme="minorHAnsi"/>
              </w:rPr>
              <w:br/>
              <w:t>2 единиц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proofErr w:type="gramStart"/>
            <w:r>
              <w:rPr>
                <w:rFonts w:eastAsiaTheme="minorHAnsi"/>
              </w:rPr>
              <w:lastRenderedPageBreak/>
              <w:t xml:space="preserve">информирование муниципальных </w:t>
            </w:r>
            <w:r>
              <w:rPr>
                <w:rFonts w:eastAsiaTheme="minorHAnsi"/>
              </w:rPr>
              <w:lastRenderedPageBreak/>
              <w:t xml:space="preserve">служащих, руководителей муниципальных учреждений Кировской области о </w:t>
            </w:r>
            <w: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</w:t>
            </w:r>
            <w:r>
              <w:rPr>
                <w:color w:val="000000" w:themeColor="text1"/>
              </w:rPr>
              <w:lastRenderedPageBreak/>
              <w:t>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</w:t>
            </w:r>
            <w:proofErr w:type="gramEnd"/>
            <w:r>
              <w:rPr>
                <w:color w:val="000000" w:themeColor="text1"/>
              </w:rPr>
              <w:t xml:space="preserve">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делами Администрации района;</w:t>
            </w:r>
          </w:p>
          <w:p w:rsidR="000722A8" w:rsidRDefault="00AB5494">
            <w:pPr>
              <w:rPr>
                <w:rFonts w:eastAsiaTheme="minorHAnsi" w:cs="Times New Roman"/>
                <w:color w:val="000000" w:themeColor="text1"/>
                <w:kern w:val="0"/>
                <w:shd w:val="clear" w:color="FFFFFF" w:fill="D9D9D9"/>
                <w:lang w:eastAsia="en-US" w:bidi="ar-SA"/>
              </w:rPr>
            </w:pPr>
            <w:r>
              <w:rPr>
                <w:lang w:eastAsia="en-US"/>
              </w:rPr>
              <w:t xml:space="preserve">ответственные лица администраций поселений района за </w:t>
            </w:r>
            <w:r>
              <w:rPr>
                <w:lang w:eastAsia="en-US"/>
              </w:rPr>
              <w:lastRenderedPageBreak/>
              <w:t>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</w:t>
            </w:r>
            <w:r>
              <w:rPr>
                <w:color w:val="000000" w:themeColor="text1"/>
              </w:rPr>
              <w:lastRenderedPageBreak/>
              <w:t>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>
              <w:rPr>
                <w:rFonts w:eastAsiaTheme="minorHAnsi"/>
                <w:color w:val="000000" w:themeColor="text1"/>
              </w:rPr>
              <w:t>, проведенных в течение отчетного года, – не менее 1 единицы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lastRenderedPageBreak/>
              <w:t xml:space="preserve">наличие справки об участии </w:t>
            </w:r>
            <w:r>
              <w:rPr>
                <w:color w:val="000000" w:themeColor="text1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0722A8" w:rsidRDefault="00AB5494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color w:val="000000" w:themeColor="text1"/>
              </w:rPr>
            </w:pPr>
            <w:proofErr w:type="gramStart"/>
            <w:r>
              <w:rPr>
                <w:rFonts w:eastAsiaTheme="minorHAnsi"/>
                <w:color w:val="000000" w:themeColor="text1"/>
              </w:rPr>
              <w:t xml:space="preserve">информирование муниципальных служащих, руководителей муниципальных учреждений </w:t>
            </w:r>
            <w:r>
              <w:rPr>
                <w:rFonts w:eastAsiaTheme="minorHAnsi"/>
                <w:color w:val="000000" w:themeColor="text1"/>
              </w:rPr>
              <w:lastRenderedPageBreak/>
              <w:t xml:space="preserve">Кировской области </w:t>
            </w:r>
            <w:r>
              <w:rPr>
                <w:color w:val="000000" w:themeColor="text1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</w:t>
            </w:r>
            <w:proofErr w:type="gramEnd"/>
            <w:r>
              <w:rPr>
                <w:color w:val="000000" w:themeColor="text1"/>
              </w:rPr>
              <w:t xml:space="preserve"> области)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shd w:val="clear" w:color="FFFFFF" w:fill="D9D9D9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года, к общему количеству муниципальных служащих,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/>
                <w:color w:val="000000" w:themeColor="text1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>
              <w:rPr>
                <w:rFonts w:eastAsiaTheme="minorHAnsi"/>
                <w:color w:val="000000" w:themeColor="text1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ежегодно, </w:t>
            </w:r>
            <w:r>
              <w:rPr>
                <w:rFonts w:eastAsiaTheme="minorHAnsi"/>
                <w:color w:val="000000" w:themeColor="text1"/>
              </w:rPr>
              <w:br/>
              <w:t>до 20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области противодействия коррупции (семинары, совещания и другие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обучение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2022 - 2025 годов, к общему количеству муниципальных служащих,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IV квартал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образования, отдел культуры, управление по вопросам жизнеобеспечения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Выявление и систематизация причин и условий проявления коррупции в деятельности органов местного самоуправления,  муниципальных учреждений, мониторинг коррупционных рисков и их устранение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4.1.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4.2.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практики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Подосиновского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4.3.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Управление делами Администрации района, ответственные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обеспечения муниципальных нужд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4.4.</w:t>
            </w:r>
          </w:p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Проведение в муниципальных учреждениях проверок соблюдения требований </w:t>
            </w:r>
            <w:hyperlink r:id="rId10" w:history="1">
              <w:r>
                <w:rPr>
                  <w:rFonts w:eastAsiaTheme="minorHAnsi" w:cs="Times New Roman"/>
                  <w:color w:val="000000" w:themeColor="text1"/>
                  <w:kern w:val="0"/>
                  <w:lang w:eastAsia="en-US" w:bidi="ar-SA"/>
                </w:rPr>
                <w:t>статьи 13.3</w:t>
              </w:r>
            </w:hyperlink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образования, отдел культуры, управление по вопросам жизнеобеспечения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не реже 1 раза в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4.5.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4.6.</w:t>
            </w:r>
          </w:p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4.7.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Утверждение и актуализация в органах местного самоуправления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4.8.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ind w:left="70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в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органах местного самоуправления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 (реестра) 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Администрации района;</w:t>
            </w:r>
          </w:p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ответственные лица администраций поселений района за выполнение работы по профилактике коррупционных и иных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0722A8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>наличие доклада о результатах реализации плана (реестра) мер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работников муниципальных учреждений Кировской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постоянно,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по мере поступления обращений граждан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формирование антикоррупционного мировоззрения;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повышение общего уровня правосознания и правовой культуры граждан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контроля за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 соответствии с планами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усиление общественного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контроля за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принимаемых органами местного самоуправления 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Обеспечение наполнения подразделов, посвященных вопросам противодействия коррупции, официальных сайтов органов местного самоуправления информацией в соответствии с требованиями </w:t>
            </w:r>
            <w:hyperlink r:id="rId11" w:history="1">
              <w:r>
                <w:rPr>
                  <w:rFonts w:eastAsiaTheme="minorHAnsi" w:cs="Times New Roman"/>
                  <w:color w:val="000000" w:themeColor="text1"/>
                  <w:kern w:val="0"/>
                  <w:lang w:eastAsia="en-US" w:bidi="ar-SA"/>
                </w:rPr>
                <w:t>приказа</w:t>
              </w:r>
            </w:hyperlink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Мониторинг информации о фактах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коррупции в органах местного самоуправления и муниципальных учреждениях, опубликованной в средствах массовой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 xml:space="preserve">Управление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сбор и анализ информации о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фактах коррупции, опубликованной в средствах массовой информации, принятие необходимых мер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Мониторинг выполнения  муниципальных функций и предоставления муниципальных услуг органами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повышение качества и доступности предоставления гражданам муниципальных услуг, прозрачности деятельности органов местного самоуправления;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Управление делами Администрации района, ответственные лица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органах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Управление делами Администрации района, ответственные лица поселений района за выполнение работы по профилактике коррупционных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pStyle w:val="ConsPlusNormal"/>
              <w:jc w:val="center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0722A8">
            <w:pPr>
              <w:pStyle w:val="ConsPlusNormal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A8" w:rsidRDefault="00AB5494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/>
                <w:color w:val="000000" w:themeColor="text1"/>
              </w:rPr>
              <w:t xml:space="preserve">снижение коррупционных рисков при реализации в 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Администрации Подосиновского района, Администрации городских и сельских поселений </w:t>
            </w:r>
            <w:r>
              <w:rPr>
                <w:rFonts w:eastAsiaTheme="minorHAnsi"/>
                <w:color w:val="000000" w:themeColor="text1"/>
              </w:rPr>
              <w:t>национальных проектов</w:t>
            </w:r>
          </w:p>
        </w:tc>
      </w:tr>
      <w:tr w:rsidR="000722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Осуществление </w:t>
            </w:r>
            <w:proofErr w:type="gram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контроля за</w:t>
            </w:r>
            <w:proofErr w:type="gramEnd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07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выявление фактов нецелевого использования объектов муниципальной собственности;</w:t>
            </w:r>
          </w:p>
          <w:p w:rsidR="000722A8" w:rsidRDefault="00AB54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0722A8" w:rsidRDefault="000722A8">
      <w:pPr>
        <w:widowControl/>
        <w:suppressAutoHyphens w:val="0"/>
        <w:spacing w:after="200" w:line="276" w:lineRule="auto"/>
        <w:rPr>
          <w:rFonts w:eastAsiaTheme="minorHAnsi" w:cs="Times New Roman"/>
          <w:color w:val="000000" w:themeColor="text1"/>
          <w:kern w:val="0"/>
          <w:sz w:val="20"/>
          <w:szCs w:val="20"/>
          <w:lang w:eastAsia="en-US" w:bidi="ar-SA"/>
        </w:rPr>
      </w:pPr>
    </w:p>
    <w:p w:rsidR="000722A8" w:rsidRDefault="00AB5494">
      <w:pPr>
        <w:jc w:val="center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0722A8" w:rsidRDefault="00AB5494">
      <w:pPr>
        <w:jc w:val="center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_____________</w:t>
      </w:r>
    </w:p>
    <w:sectPr w:rsidR="000722A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A8" w:rsidRDefault="00AB5494">
      <w:r>
        <w:separator/>
      </w:r>
    </w:p>
  </w:endnote>
  <w:endnote w:type="continuationSeparator" w:id="0">
    <w:p w:rsidR="000722A8" w:rsidRDefault="00A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A8" w:rsidRDefault="00AB5494">
      <w:r>
        <w:separator/>
      </w:r>
    </w:p>
  </w:footnote>
  <w:footnote w:type="continuationSeparator" w:id="0">
    <w:p w:rsidR="000722A8" w:rsidRDefault="00AB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7F2D"/>
    <w:multiLevelType w:val="multilevel"/>
    <w:tmpl w:val="7A107F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3"/>
    <w:rsid w:val="000722A8"/>
    <w:rsid w:val="000723BA"/>
    <w:rsid w:val="000C0046"/>
    <w:rsid w:val="000C5CF3"/>
    <w:rsid w:val="000E2F3F"/>
    <w:rsid w:val="0010522B"/>
    <w:rsid w:val="00150492"/>
    <w:rsid w:val="001F08EF"/>
    <w:rsid w:val="00272EC2"/>
    <w:rsid w:val="00277CC1"/>
    <w:rsid w:val="00307CBE"/>
    <w:rsid w:val="003137FA"/>
    <w:rsid w:val="004C1D8D"/>
    <w:rsid w:val="00620A40"/>
    <w:rsid w:val="00692683"/>
    <w:rsid w:val="0070049C"/>
    <w:rsid w:val="007C7196"/>
    <w:rsid w:val="00821C09"/>
    <w:rsid w:val="00824AEA"/>
    <w:rsid w:val="00887E9F"/>
    <w:rsid w:val="008D2CD9"/>
    <w:rsid w:val="008F4C17"/>
    <w:rsid w:val="00917E40"/>
    <w:rsid w:val="009C085C"/>
    <w:rsid w:val="00A11C1E"/>
    <w:rsid w:val="00A3584D"/>
    <w:rsid w:val="00A73F2B"/>
    <w:rsid w:val="00AB5494"/>
    <w:rsid w:val="00AB7D42"/>
    <w:rsid w:val="00B85ED8"/>
    <w:rsid w:val="00BB6B57"/>
    <w:rsid w:val="00D23B6E"/>
    <w:rsid w:val="00D93997"/>
    <w:rsid w:val="00DE0B01"/>
    <w:rsid w:val="00F137D2"/>
    <w:rsid w:val="00FA11FD"/>
    <w:rsid w:val="00FA3001"/>
    <w:rsid w:val="00FD417E"/>
    <w:rsid w:val="205B470B"/>
    <w:rsid w:val="30B1308B"/>
    <w:rsid w:val="38726B89"/>
    <w:rsid w:val="64D96A49"/>
    <w:rsid w:val="663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623EE1582762252913F1EB8EFC1C3167C4A7D98228333C21B7A35382263BF27AA4B8F788AFD3D85463071206F7q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623EE1582762252913F1EB8EFC1C3160C0ABDE8D23333C21B7A35382263BF268A4E0F388A3998919280812036004AE61FA372CF6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КолесниковаНВ</cp:lastModifiedBy>
  <cp:revision>3</cp:revision>
  <cp:lastPrinted>2025-05-27T08:04:00Z</cp:lastPrinted>
  <dcterms:created xsi:type="dcterms:W3CDTF">2025-05-27T08:05:00Z</dcterms:created>
  <dcterms:modified xsi:type="dcterms:W3CDTF">2025-05-27T08:17:00Z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75785B9622E14BE08C954A7A26C7864F_13</vt:lpwstr>
  </property>
</Properties>
</file>